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7A4F" w14:textId="617C10A7" w:rsidR="00C55550" w:rsidRPr="00310185" w:rsidRDefault="008E27F8" w:rsidP="00706364">
      <w:pPr>
        <w:autoSpaceDE w:val="0"/>
        <w:autoSpaceDN w:val="0"/>
        <w:adjustRightInd w:val="0"/>
        <w:spacing w:after="240" w:line="240" w:lineRule="auto"/>
        <w:rPr>
          <w:rFonts w:ascii="HelveticaNeueLT Std" w:hAnsi="HelveticaNeueLT Std" w:cs="Arial"/>
          <w:b/>
          <w:bCs/>
          <w:sz w:val="28"/>
          <w:szCs w:val="28"/>
        </w:rPr>
      </w:pPr>
      <w:r>
        <w:rPr>
          <w:rFonts w:ascii="HelveticaNeueLT Std" w:hAnsi="HelveticaNeueLT Std" w:cs="Arial"/>
          <w:b/>
          <w:bCs/>
          <w:sz w:val="28"/>
          <w:szCs w:val="28"/>
        </w:rPr>
        <w:t xml:space="preserve">Statement of Significance: </w:t>
      </w:r>
      <w:r w:rsidR="00310185" w:rsidRPr="00310185">
        <w:rPr>
          <w:rFonts w:ascii="HelveticaNeueLT Std" w:hAnsi="HelveticaNeueLT Std" w:cs="Arial"/>
          <w:b/>
          <w:bCs/>
          <w:sz w:val="28"/>
          <w:szCs w:val="28"/>
        </w:rPr>
        <w:t>Hampden Road</w:t>
      </w:r>
      <w:r w:rsidR="00415925">
        <w:rPr>
          <w:rFonts w:ascii="HelveticaNeueLT Std" w:hAnsi="HelveticaNeueLT Std" w:cs="Arial"/>
          <w:b/>
          <w:bCs/>
          <w:sz w:val="28"/>
          <w:szCs w:val="28"/>
        </w:rPr>
        <w:t xml:space="preserve"> Precinct</w:t>
      </w:r>
      <w:r w:rsidR="00310185" w:rsidRPr="00310185">
        <w:rPr>
          <w:rFonts w:ascii="HelveticaNeueLT Std" w:hAnsi="HelveticaNeueLT Std" w:cs="Arial"/>
          <w:b/>
          <w:bCs/>
          <w:sz w:val="28"/>
          <w:szCs w:val="28"/>
        </w:rPr>
        <w:t>, Armadale</w:t>
      </w:r>
      <w:r w:rsidR="00335DDD">
        <w:rPr>
          <w:rFonts w:ascii="HelveticaNeueLT Std" w:hAnsi="HelveticaNeueLT Std" w:cs="Arial"/>
          <w:b/>
          <w:bCs/>
          <w:sz w:val="28"/>
          <w:szCs w:val="28"/>
        </w:rPr>
        <w:t>,</w:t>
      </w:r>
      <w:r>
        <w:rPr>
          <w:rFonts w:ascii="HelveticaNeueLT Std" w:hAnsi="HelveticaNeueLT Std" w:cs="Arial"/>
          <w:b/>
          <w:bCs/>
          <w:sz w:val="28"/>
          <w:szCs w:val="28"/>
        </w:rPr>
        <w:t xml:space="preserve"> </w:t>
      </w:r>
      <w:r w:rsidR="005260A6">
        <w:rPr>
          <w:rFonts w:ascii="HelveticaNeueLT Std" w:hAnsi="HelveticaNeueLT Std" w:cs="Arial"/>
          <w:b/>
          <w:bCs/>
          <w:sz w:val="28"/>
          <w:szCs w:val="28"/>
        </w:rPr>
        <w:t>January</w:t>
      </w:r>
      <w:r w:rsidR="000D0104">
        <w:rPr>
          <w:rFonts w:ascii="HelveticaNeueLT Std" w:hAnsi="HelveticaNeueLT Std" w:cs="Arial"/>
          <w:b/>
          <w:bCs/>
          <w:sz w:val="28"/>
          <w:szCs w:val="28"/>
        </w:rPr>
        <w:t>, 202</w:t>
      </w:r>
      <w:r w:rsidR="005260A6">
        <w:rPr>
          <w:rFonts w:ascii="HelveticaNeueLT Std" w:hAnsi="HelveticaNeueLT Std" w:cs="Arial"/>
          <w:b/>
          <w:bCs/>
          <w:sz w:val="28"/>
          <w:szCs w:val="28"/>
        </w:rPr>
        <w:t>4</w:t>
      </w:r>
    </w:p>
    <w:tbl>
      <w:tblPr>
        <w:tblW w:w="9322" w:type="dxa"/>
        <w:tblBorders>
          <w:insideH w:val="single" w:sz="4" w:space="0" w:color="auto"/>
          <w:insideV w:val="single" w:sz="4" w:space="0" w:color="auto"/>
        </w:tblBorders>
        <w:tblLook w:val="01E0" w:firstRow="1" w:lastRow="1" w:firstColumn="1" w:lastColumn="1" w:noHBand="0" w:noVBand="0"/>
      </w:tblPr>
      <w:tblGrid>
        <w:gridCol w:w="5529"/>
        <w:gridCol w:w="3793"/>
      </w:tblGrid>
      <w:tr w:rsidR="00C55550" w:rsidRPr="00310185" w14:paraId="1E1C7A59" w14:textId="77777777" w:rsidTr="00415925">
        <w:trPr>
          <w:trHeight w:val="397"/>
        </w:trPr>
        <w:tc>
          <w:tcPr>
            <w:tcW w:w="5529" w:type="dxa"/>
            <w:tcBorders>
              <w:top w:val="single" w:sz="4" w:space="0" w:color="auto"/>
              <w:bottom w:val="single" w:sz="4" w:space="0" w:color="auto"/>
            </w:tcBorders>
          </w:tcPr>
          <w:p w14:paraId="1E1C7A57" w14:textId="46C8EF7E" w:rsidR="00C55550" w:rsidRPr="00310185" w:rsidRDefault="005E4162" w:rsidP="00310185">
            <w:pPr>
              <w:overflowPunct w:val="0"/>
              <w:autoSpaceDE w:val="0"/>
              <w:autoSpaceDN w:val="0"/>
              <w:adjustRightInd w:val="0"/>
              <w:spacing w:before="60" w:after="60" w:line="240" w:lineRule="auto"/>
              <w:jc w:val="both"/>
              <w:textAlignment w:val="baseline"/>
              <w:rPr>
                <w:rFonts w:ascii="HelveticaNeueLT Std" w:hAnsi="HelveticaNeueLT Std"/>
                <w:sz w:val="20"/>
                <w:szCs w:val="20"/>
              </w:rPr>
            </w:pPr>
            <w:r w:rsidRPr="00310185">
              <w:rPr>
                <w:rFonts w:ascii="HelveticaNeueLT Std" w:hAnsi="HelveticaNeueLT Std"/>
                <w:b/>
                <w:sz w:val="20"/>
                <w:szCs w:val="20"/>
              </w:rPr>
              <w:t xml:space="preserve">Heritage </w:t>
            </w:r>
            <w:r w:rsidR="00C55550" w:rsidRPr="00310185">
              <w:rPr>
                <w:rFonts w:ascii="HelveticaNeueLT Std" w:hAnsi="HelveticaNeueLT Std"/>
                <w:b/>
                <w:sz w:val="20"/>
                <w:szCs w:val="20"/>
              </w:rPr>
              <w:t>Place:</w:t>
            </w:r>
            <w:r w:rsidR="00C55550" w:rsidRPr="00310185">
              <w:rPr>
                <w:rFonts w:ascii="HelveticaNeueLT Std" w:hAnsi="HelveticaNeueLT Std"/>
                <w:sz w:val="20"/>
                <w:szCs w:val="20"/>
              </w:rPr>
              <w:t xml:space="preserve"> </w:t>
            </w:r>
            <w:r w:rsidR="00310185" w:rsidRPr="00310185">
              <w:rPr>
                <w:rFonts w:ascii="HelveticaNeueLT Std" w:hAnsi="HelveticaNeueLT Std"/>
                <w:sz w:val="20"/>
                <w:szCs w:val="20"/>
              </w:rPr>
              <w:t>Hampden Road</w:t>
            </w:r>
            <w:r w:rsidR="00415925">
              <w:rPr>
                <w:rFonts w:ascii="HelveticaNeueLT Std" w:hAnsi="HelveticaNeueLT Std"/>
                <w:sz w:val="20"/>
                <w:szCs w:val="20"/>
              </w:rPr>
              <w:t xml:space="preserve"> Precinct</w:t>
            </w:r>
            <w:r w:rsidR="00310185" w:rsidRPr="00310185">
              <w:rPr>
                <w:rFonts w:ascii="HelveticaNeueLT Std" w:hAnsi="HelveticaNeueLT Std"/>
                <w:sz w:val="20"/>
                <w:szCs w:val="20"/>
              </w:rPr>
              <w:t>, Armadale</w:t>
            </w:r>
          </w:p>
        </w:tc>
        <w:tc>
          <w:tcPr>
            <w:tcW w:w="3793" w:type="dxa"/>
            <w:tcBorders>
              <w:top w:val="single" w:sz="4" w:space="0" w:color="auto"/>
              <w:bottom w:val="single" w:sz="4" w:space="0" w:color="auto"/>
            </w:tcBorders>
          </w:tcPr>
          <w:p w14:paraId="1E1C7A58" w14:textId="487E0EDA" w:rsidR="00C55550" w:rsidRPr="00310185" w:rsidRDefault="00C55550" w:rsidP="00310185">
            <w:pPr>
              <w:overflowPunct w:val="0"/>
              <w:autoSpaceDE w:val="0"/>
              <w:autoSpaceDN w:val="0"/>
              <w:adjustRightInd w:val="0"/>
              <w:spacing w:before="60" w:after="60" w:line="240" w:lineRule="auto"/>
              <w:jc w:val="both"/>
              <w:textAlignment w:val="baseline"/>
              <w:rPr>
                <w:rFonts w:ascii="HelveticaNeueLT Std" w:hAnsi="HelveticaNeueLT Std"/>
                <w:sz w:val="20"/>
                <w:szCs w:val="20"/>
              </w:rPr>
            </w:pPr>
            <w:r w:rsidRPr="00310185">
              <w:rPr>
                <w:rFonts w:ascii="HelveticaNeueLT Std" w:hAnsi="HelveticaNeueLT Std"/>
                <w:b/>
                <w:sz w:val="20"/>
                <w:szCs w:val="20"/>
              </w:rPr>
              <w:t>PS ref no:</w:t>
            </w:r>
            <w:r w:rsidRPr="00310185">
              <w:rPr>
                <w:rFonts w:ascii="HelveticaNeueLT Std" w:hAnsi="HelveticaNeueLT Std"/>
                <w:sz w:val="20"/>
                <w:szCs w:val="20"/>
              </w:rPr>
              <w:t xml:space="preserve"> </w:t>
            </w:r>
            <w:r w:rsidR="004F5A9E" w:rsidRPr="00310185">
              <w:rPr>
                <w:rFonts w:ascii="HelveticaNeueLT Std" w:hAnsi="HelveticaNeueLT Std"/>
                <w:sz w:val="20"/>
                <w:szCs w:val="20"/>
              </w:rPr>
              <w:t>HO</w:t>
            </w:r>
            <w:r w:rsidR="00310185" w:rsidRPr="00310185">
              <w:rPr>
                <w:rFonts w:ascii="HelveticaNeueLT Std" w:hAnsi="HelveticaNeueLT Std"/>
                <w:sz w:val="20"/>
                <w:szCs w:val="20"/>
              </w:rPr>
              <w:t>136</w:t>
            </w:r>
          </w:p>
        </w:tc>
      </w:tr>
      <w:tr w:rsidR="008E27F8" w:rsidRPr="00310185" w14:paraId="325648F4" w14:textId="77777777" w:rsidTr="00557143">
        <w:trPr>
          <w:trHeight w:val="397"/>
        </w:trPr>
        <w:tc>
          <w:tcPr>
            <w:tcW w:w="9322" w:type="dxa"/>
            <w:gridSpan w:val="2"/>
            <w:tcBorders>
              <w:top w:val="single" w:sz="4" w:space="0" w:color="auto"/>
              <w:bottom w:val="single" w:sz="4" w:space="0" w:color="auto"/>
            </w:tcBorders>
          </w:tcPr>
          <w:p w14:paraId="7066C9BD" w14:textId="781B1E2D" w:rsidR="008E27F8" w:rsidRPr="00310185" w:rsidRDefault="005260A6" w:rsidP="008E27F8">
            <w:pPr>
              <w:overflowPunct w:val="0"/>
              <w:autoSpaceDE w:val="0"/>
              <w:autoSpaceDN w:val="0"/>
              <w:adjustRightInd w:val="0"/>
              <w:spacing w:before="60" w:after="60" w:line="240" w:lineRule="auto"/>
              <w:jc w:val="center"/>
              <w:textAlignment w:val="baseline"/>
              <w:rPr>
                <w:rFonts w:ascii="HelveticaNeueLT Std" w:hAnsi="HelveticaNeueLT Std"/>
                <w:b/>
                <w:sz w:val="20"/>
                <w:szCs w:val="20"/>
              </w:rPr>
            </w:pPr>
            <w:r>
              <w:rPr>
                <w:noProof/>
              </w:rPr>
              <w:drawing>
                <wp:inline distT="0" distB="0" distL="0" distR="0" wp14:anchorId="2CFC7315" wp14:editId="6F97D046">
                  <wp:extent cx="5731510" cy="4054475"/>
                  <wp:effectExtent l="0" t="0" r="2540" b="3175"/>
                  <wp:docPr id="20923075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4054475"/>
                          </a:xfrm>
                          <a:prstGeom prst="rect">
                            <a:avLst/>
                          </a:prstGeom>
                          <a:noFill/>
                          <a:ln>
                            <a:noFill/>
                          </a:ln>
                        </pic:spPr>
                      </pic:pic>
                    </a:graphicData>
                  </a:graphic>
                </wp:inline>
              </w:drawing>
            </w:r>
            <w:r>
              <w:rPr>
                <w:rFonts w:ascii="Calibri Light" w:hAnsi="Calibri Light" w:cs="Calibri Light"/>
                <w:color w:val="2E74B5"/>
                <w:sz w:val="26"/>
                <w:szCs w:val="26"/>
                <w:shd w:val="clear" w:color="auto" w:fill="FFFFFF"/>
                <w:lang w:val="en-US"/>
              </w:rPr>
              <w:br/>
            </w:r>
          </w:p>
        </w:tc>
      </w:tr>
    </w:tbl>
    <w:p w14:paraId="1E1C7A5E" w14:textId="11353998" w:rsidR="006B1BDC" w:rsidRPr="00310185" w:rsidRDefault="002C150C" w:rsidP="00706364">
      <w:pPr>
        <w:keepNext/>
        <w:pBdr>
          <w:bottom w:val="single" w:sz="4" w:space="1" w:color="auto"/>
        </w:pBdr>
        <w:autoSpaceDE w:val="0"/>
        <w:autoSpaceDN w:val="0"/>
        <w:adjustRightInd w:val="0"/>
        <w:spacing w:before="240" w:after="120" w:line="240" w:lineRule="auto"/>
        <w:rPr>
          <w:rFonts w:ascii="HelveticaNeueLT Std" w:hAnsi="HelveticaNeueLT Std" w:cs="Arial"/>
          <w:b/>
          <w:bCs/>
          <w:sz w:val="20"/>
          <w:szCs w:val="20"/>
        </w:rPr>
      </w:pPr>
      <w:r w:rsidRPr="00310185">
        <w:rPr>
          <w:rFonts w:ascii="HelveticaNeueLT Std" w:hAnsi="HelveticaNeueLT Std" w:cs="Arial"/>
          <w:b/>
          <w:bCs/>
          <w:sz w:val="20"/>
          <w:szCs w:val="20"/>
        </w:rPr>
        <w:t>What is significant?</w:t>
      </w:r>
    </w:p>
    <w:p w14:paraId="36C0C1C6" w14:textId="047F80A7" w:rsidR="00310185" w:rsidRPr="00310185" w:rsidRDefault="00310185" w:rsidP="00310185">
      <w:pPr>
        <w:pStyle w:val="Default"/>
        <w:rPr>
          <w:rFonts w:ascii="HelveticaNeueLT Std" w:hAnsi="HelveticaNeueLT Std"/>
          <w:sz w:val="20"/>
          <w:szCs w:val="20"/>
        </w:rPr>
      </w:pPr>
      <w:r w:rsidRPr="00310185">
        <w:rPr>
          <w:rFonts w:ascii="HelveticaNeueLT Std" w:hAnsi="HelveticaNeueLT Std"/>
          <w:sz w:val="20"/>
          <w:szCs w:val="20"/>
        </w:rPr>
        <w:t xml:space="preserve">The Hampden Road Precinct, comprising properties on Hampden Road, Avalon </w:t>
      </w:r>
      <w:proofErr w:type="gramStart"/>
      <w:r w:rsidRPr="00310185">
        <w:rPr>
          <w:rFonts w:ascii="HelveticaNeueLT Std" w:hAnsi="HelveticaNeueLT Std"/>
          <w:sz w:val="20"/>
          <w:szCs w:val="20"/>
        </w:rPr>
        <w:t>Road</w:t>
      </w:r>
      <w:proofErr w:type="gramEnd"/>
      <w:r w:rsidRPr="00310185">
        <w:rPr>
          <w:rFonts w:ascii="HelveticaNeueLT Std" w:hAnsi="HelveticaNeueLT Std"/>
          <w:sz w:val="20"/>
          <w:szCs w:val="20"/>
        </w:rPr>
        <w:t xml:space="preserve"> and Dandenong Road, is locally significant. The mature oak (</w:t>
      </w:r>
      <w:r w:rsidRPr="00310185">
        <w:rPr>
          <w:rFonts w:ascii="HelveticaNeueLT Std" w:hAnsi="HelveticaNeueLT Std"/>
          <w:i/>
          <w:iCs/>
          <w:sz w:val="20"/>
          <w:szCs w:val="20"/>
        </w:rPr>
        <w:t>Quercus</w:t>
      </w:r>
      <w:r w:rsidRPr="00310185">
        <w:rPr>
          <w:rFonts w:ascii="HelveticaNeueLT Std" w:hAnsi="HelveticaNeueLT Std"/>
          <w:sz w:val="20"/>
          <w:szCs w:val="20"/>
        </w:rPr>
        <w:t xml:space="preserve">) street trees on Hampden Road are also locally significant. </w:t>
      </w:r>
    </w:p>
    <w:p w14:paraId="2A772983" w14:textId="77777777" w:rsidR="00310185" w:rsidRPr="00310185" w:rsidRDefault="00310185" w:rsidP="00310185">
      <w:pPr>
        <w:pStyle w:val="Default"/>
        <w:rPr>
          <w:rFonts w:ascii="HelveticaNeueLT Std" w:hAnsi="HelveticaNeueLT Std"/>
          <w:sz w:val="20"/>
          <w:szCs w:val="20"/>
        </w:rPr>
      </w:pPr>
    </w:p>
    <w:p w14:paraId="4BCE117F" w14:textId="77777777" w:rsidR="00310185" w:rsidRPr="00310185" w:rsidRDefault="00310185" w:rsidP="00310185">
      <w:pPr>
        <w:pStyle w:val="Default"/>
        <w:rPr>
          <w:rFonts w:ascii="HelveticaNeueLT Std" w:hAnsi="HelveticaNeueLT Std"/>
          <w:sz w:val="20"/>
          <w:szCs w:val="20"/>
        </w:rPr>
      </w:pPr>
      <w:r w:rsidRPr="00310185">
        <w:rPr>
          <w:rFonts w:ascii="HelveticaNeueLT Std" w:hAnsi="HelveticaNeueLT Std"/>
          <w:sz w:val="20"/>
          <w:szCs w:val="20"/>
        </w:rPr>
        <w:t>Significant properties include:</w:t>
      </w:r>
    </w:p>
    <w:p w14:paraId="142691A1" w14:textId="3AE05949" w:rsidR="00310185" w:rsidRPr="00310185" w:rsidRDefault="00310185" w:rsidP="00310185">
      <w:pPr>
        <w:pStyle w:val="Default"/>
        <w:numPr>
          <w:ilvl w:val="0"/>
          <w:numId w:val="5"/>
        </w:numPr>
        <w:rPr>
          <w:rFonts w:ascii="HelveticaNeueLT Std" w:hAnsi="HelveticaNeueLT Std"/>
          <w:sz w:val="20"/>
          <w:szCs w:val="20"/>
        </w:rPr>
      </w:pPr>
      <w:r w:rsidRPr="00310185">
        <w:rPr>
          <w:rFonts w:ascii="HelveticaNeueLT Std" w:hAnsi="HelveticaNeueLT Std"/>
          <w:sz w:val="20"/>
          <w:szCs w:val="20"/>
        </w:rPr>
        <w:t xml:space="preserve">Former Moorilim, 373-375 Dandenong Road, Armadale (Victorian Italianate mansion, now a school) </w:t>
      </w:r>
    </w:p>
    <w:p w14:paraId="26AD8CE1" w14:textId="617E498B" w:rsidR="00310185" w:rsidRPr="00310185" w:rsidRDefault="00310185" w:rsidP="00310185">
      <w:pPr>
        <w:pStyle w:val="Default"/>
        <w:numPr>
          <w:ilvl w:val="0"/>
          <w:numId w:val="5"/>
        </w:numPr>
        <w:rPr>
          <w:rFonts w:ascii="HelveticaNeueLT Std" w:hAnsi="HelveticaNeueLT Std"/>
          <w:sz w:val="20"/>
          <w:szCs w:val="20"/>
        </w:rPr>
      </w:pPr>
      <w:r w:rsidRPr="00310185">
        <w:rPr>
          <w:rFonts w:ascii="HelveticaNeueLT Std" w:hAnsi="HelveticaNeueLT Std"/>
          <w:sz w:val="20"/>
          <w:szCs w:val="20"/>
        </w:rPr>
        <w:t xml:space="preserve">Namarong, 52 Hampden Road, Armadale (Victorian Italianate mansion) </w:t>
      </w:r>
    </w:p>
    <w:p w14:paraId="6B0260D6" w14:textId="77777777" w:rsidR="00310185" w:rsidRPr="00310185" w:rsidRDefault="00310185" w:rsidP="00310185">
      <w:pPr>
        <w:pStyle w:val="Default"/>
        <w:rPr>
          <w:rFonts w:ascii="HelveticaNeueLT Std" w:hAnsi="HelveticaNeueLT Std"/>
          <w:sz w:val="20"/>
          <w:szCs w:val="20"/>
        </w:rPr>
      </w:pPr>
    </w:p>
    <w:p w14:paraId="492A5E5C" w14:textId="77777777" w:rsidR="00310185" w:rsidRPr="00310185" w:rsidRDefault="00310185" w:rsidP="00310185">
      <w:pPr>
        <w:pStyle w:val="Default"/>
        <w:rPr>
          <w:rFonts w:ascii="HelveticaNeueLT Std" w:hAnsi="HelveticaNeueLT Std"/>
          <w:sz w:val="20"/>
          <w:szCs w:val="20"/>
        </w:rPr>
      </w:pPr>
      <w:r w:rsidRPr="00310185">
        <w:rPr>
          <w:rFonts w:ascii="HelveticaNeueLT Std" w:hAnsi="HelveticaNeueLT Std"/>
          <w:sz w:val="20"/>
          <w:szCs w:val="20"/>
        </w:rPr>
        <w:t>The remainder of the precinct is predominantly characterised by contributory graded buildings, with a small number of non-contributory infill developments. Refer to the grading map for designations.</w:t>
      </w:r>
    </w:p>
    <w:p w14:paraId="5549EE6C" w14:textId="0B54A429" w:rsidR="00310185" w:rsidRPr="00310185" w:rsidRDefault="00310185" w:rsidP="00310185">
      <w:pPr>
        <w:pStyle w:val="Default"/>
        <w:rPr>
          <w:rFonts w:ascii="HelveticaNeueLT Std" w:hAnsi="HelveticaNeueLT Std"/>
          <w:sz w:val="20"/>
          <w:szCs w:val="20"/>
        </w:rPr>
      </w:pPr>
      <w:r w:rsidRPr="00310185">
        <w:rPr>
          <w:rFonts w:ascii="HelveticaNeueLT Std" w:hAnsi="HelveticaNeueLT Std"/>
          <w:sz w:val="20"/>
          <w:szCs w:val="20"/>
        </w:rPr>
        <w:t xml:space="preserve"> </w:t>
      </w:r>
    </w:p>
    <w:p w14:paraId="104C88AB" w14:textId="77777777" w:rsidR="00310185" w:rsidRPr="00310185" w:rsidRDefault="00310185" w:rsidP="00310185">
      <w:pPr>
        <w:pStyle w:val="Default"/>
        <w:rPr>
          <w:rFonts w:ascii="HelveticaNeueLT Std" w:hAnsi="HelveticaNeueLT Std"/>
          <w:sz w:val="20"/>
          <w:szCs w:val="20"/>
        </w:rPr>
      </w:pPr>
      <w:r w:rsidRPr="00310185">
        <w:rPr>
          <w:rFonts w:ascii="HelveticaNeueLT Std" w:hAnsi="HelveticaNeueLT Std"/>
          <w:sz w:val="20"/>
          <w:szCs w:val="20"/>
        </w:rPr>
        <w:t xml:space="preserve">Character elements that contribute to the significance of the precinct include: </w:t>
      </w:r>
    </w:p>
    <w:p w14:paraId="6323BD05" w14:textId="53B4E5FD" w:rsidR="00310185" w:rsidRPr="00310185" w:rsidRDefault="00310185" w:rsidP="00310185">
      <w:pPr>
        <w:pStyle w:val="Default"/>
        <w:numPr>
          <w:ilvl w:val="0"/>
          <w:numId w:val="6"/>
        </w:numPr>
        <w:rPr>
          <w:rFonts w:ascii="HelveticaNeueLT Std" w:hAnsi="HelveticaNeueLT Std"/>
          <w:sz w:val="20"/>
          <w:szCs w:val="20"/>
        </w:rPr>
      </w:pPr>
      <w:r w:rsidRPr="00310185">
        <w:rPr>
          <w:rFonts w:ascii="HelveticaNeueLT Std" w:hAnsi="HelveticaNeueLT Std"/>
          <w:sz w:val="20"/>
          <w:szCs w:val="20"/>
        </w:rPr>
        <w:t xml:space="preserve">The generous allotments established by the 1919 subdivision of Namarong Estate and 1929 subdivision of Avalon </w:t>
      </w:r>
      <w:proofErr w:type="gramStart"/>
      <w:r w:rsidRPr="00310185">
        <w:rPr>
          <w:rFonts w:ascii="HelveticaNeueLT Std" w:hAnsi="HelveticaNeueLT Std"/>
          <w:sz w:val="20"/>
          <w:szCs w:val="20"/>
        </w:rPr>
        <w:t>Estate;</w:t>
      </w:r>
      <w:proofErr w:type="gramEnd"/>
      <w:r w:rsidRPr="00310185">
        <w:rPr>
          <w:rFonts w:ascii="HelveticaNeueLT Std" w:hAnsi="HelveticaNeueLT Std"/>
          <w:sz w:val="20"/>
          <w:szCs w:val="20"/>
        </w:rPr>
        <w:t xml:space="preserve"> </w:t>
      </w:r>
    </w:p>
    <w:p w14:paraId="6D174BCB" w14:textId="4D634693" w:rsidR="00310185" w:rsidRPr="00310185" w:rsidRDefault="00310185" w:rsidP="00310185">
      <w:pPr>
        <w:pStyle w:val="Default"/>
        <w:numPr>
          <w:ilvl w:val="0"/>
          <w:numId w:val="6"/>
        </w:numPr>
        <w:rPr>
          <w:rFonts w:ascii="HelveticaNeueLT Std" w:hAnsi="HelveticaNeueLT Std"/>
          <w:sz w:val="20"/>
          <w:szCs w:val="20"/>
        </w:rPr>
      </w:pPr>
      <w:r w:rsidRPr="00310185">
        <w:rPr>
          <w:rFonts w:ascii="HelveticaNeueLT Std" w:hAnsi="HelveticaNeueLT Std"/>
          <w:sz w:val="20"/>
          <w:szCs w:val="20"/>
        </w:rPr>
        <w:t xml:space="preserve">The presence of intact remnant late Victorian Italianate mansion estate buildings, that were erected prior to the interwar era </w:t>
      </w:r>
      <w:proofErr w:type="gramStart"/>
      <w:r w:rsidRPr="00310185">
        <w:rPr>
          <w:rFonts w:ascii="HelveticaNeueLT Std" w:hAnsi="HelveticaNeueLT Std"/>
          <w:sz w:val="20"/>
          <w:szCs w:val="20"/>
        </w:rPr>
        <w:t>subdivision;</w:t>
      </w:r>
      <w:proofErr w:type="gramEnd"/>
      <w:r w:rsidRPr="00310185">
        <w:rPr>
          <w:rFonts w:ascii="HelveticaNeueLT Std" w:hAnsi="HelveticaNeueLT Std"/>
          <w:sz w:val="20"/>
          <w:szCs w:val="20"/>
        </w:rPr>
        <w:t xml:space="preserve"> </w:t>
      </w:r>
    </w:p>
    <w:p w14:paraId="31C3A8ED" w14:textId="49A5D2F2" w:rsidR="00310185" w:rsidRPr="00310185" w:rsidRDefault="00310185" w:rsidP="00310185">
      <w:pPr>
        <w:pStyle w:val="Default"/>
        <w:numPr>
          <w:ilvl w:val="0"/>
          <w:numId w:val="6"/>
        </w:numPr>
        <w:rPr>
          <w:rFonts w:ascii="HelveticaNeueLT Std" w:hAnsi="HelveticaNeueLT Std"/>
          <w:sz w:val="20"/>
          <w:szCs w:val="20"/>
        </w:rPr>
      </w:pPr>
      <w:r w:rsidRPr="00310185">
        <w:rPr>
          <w:rFonts w:ascii="HelveticaNeueLT Std" w:hAnsi="HelveticaNeueLT Std"/>
          <w:sz w:val="20"/>
          <w:szCs w:val="20"/>
        </w:rPr>
        <w:t xml:space="preserve">The presence of a large group of contributory dwellings of varying Interwar styles, including Old English, Georgian Revival (with Mediterranean influences), American Bungalow, Mediterranean and Streamline Moderne. Some of these buildings are associated with notable architects. </w:t>
      </w:r>
    </w:p>
    <w:p w14:paraId="3A346171" w14:textId="6BE2AA42" w:rsidR="00310185" w:rsidRPr="00415925" w:rsidRDefault="00310185" w:rsidP="00310185">
      <w:pPr>
        <w:pStyle w:val="Default"/>
        <w:numPr>
          <w:ilvl w:val="0"/>
          <w:numId w:val="6"/>
        </w:numPr>
        <w:rPr>
          <w:rFonts w:asciiTheme="minorBidi" w:hAnsiTheme="minorBidi" w:cstheme="minorBidi"/>
          <w:sz w:val="20"/>
          <w:szCs w:val="20"/>
        </w:rPr>
      </w:pPr>
      <w:r w:rsidRPr="00310185">
        <w:rPr>
          <w:rFonts w:ascii="HelveticaNeueLT Std" w:hAnsi="HelveticaNeueLT Std"/>
          <w:sz w:val="20"/>
          <w:szCs w:val="20"/>
        </w:rPr>
        <w:lastRenderedPageBreak/>
        <w:t xml:space="preserve">The relatively high integrity of contributory buildings when viewed from the street. Dwellings typically survive with their presentation to the street largely unaltered, retaining elements such </w:t>
      </w:r>
      <w:r w:rsidRPr="00415925">
        <w:rPr>
          <w:rFonts w:asciiTheme="minorBidi" w:hAnsiTheme="minorBidi" w:cstheme="minorBidi"/>
          <w:sz w:val="20"/>
          <w:szCs w:val="20"/>
        </w:rPr>
        <w:t xml:space="preserve">as verandahs, porticos, roof forms, chimneys, windows and door openings, brick detailing and timber </w:t>
      </w:r>
      <w:proofErr w:type="gramStart"/>
      <w:r w:rsidRPr="00415925">
        <w:rPr>
          <w:rFonts w:asciiTheme="minorBidi" w:hAnsiTheme="minorBidi" w:cstheme="minorBidi"/>
          <w:sz w:val="20"/>
          <w:szCs w:val="20"/>
        </w:rPr>
        <w:t>joinery;</w:t>
      </w:r>
      <w:proofErr w:type="gramEnd"/>
      <w:r w:rsidRPr="00415925">
        <w:rPr>
          <w:rFonts w:asciiTheme="minorBidi" w:hAnsiTheme="minorBidi" w:cstheme="minorBidi"/>
          <w:sz w:val="20"/>
          <w:szCs w:val="20"/>
        </w:rPr>
        <w:t xml:space="preserve"> </w:t>
      </w:r>
    </w:p>
    <w:p w14:paraId="068B019F" w14:textId="61DC958F" w:rsidR="00310185" w:rsidRPr="00415925" w:rsidRDefault="00310185" w:rsidP="00310185">
      <w:pPr>
        <w:pStyle w:val="Default"/>
        <w:numPr>
          <w:ilvl w:val="0"/>
          <w:numId w:val="6"/>
        </w:numPr>
        <w:rPr>
          <w:rFonts w:asciiTheme="minorBidi" w:hAnsiTheme="minorBidi" w:cstheme="minorBidi"/>
          <w:sz w:val="20"/>
          <w:szCs w:val="20"/>
        </w:rPr>
      </w:pPr>
      <w:r w:rsidRPr="00415925">
        <w:rPr>
          <w:rFonts w:asciiTheme="minorBidi" w:hAnsiTheme="minorBidi" w:cstheme="minorBidi"/>
          <w:sz w:val="20"/>
          <w:szCs w:val="20"/>
        </w:rPr>
        <w:t xml:space="preserve">The overall consistency of form, scale (one to two storeys), siting (regular front and side setbacks) and external materials and detailing (brick or render with hip or gable tiled roofs and chimneys) of the groups of interwar houses, apartments and </w:t>
      </w:r>
      <w:proofErr w:type="gramStart"/>
      <w:r w:rsidRPr="00415925">
        <w:rPr>
          <w:rFonts w:asciiTheme="minorBidi" w:hAnsiTheme="minorBidi" w:cstheme="minorBidi"/>
          <w:sz w:val="20"/>
          <w:szCs w:val="20"/>
        </w:rPr>
        <w:t>maisonettes;</w:t>
      </w:r>
      <w:proofErr w:type="gramEnd"/>
      <w:r w:rsidRPr="00415925">
        <w:rPr>
          <w:rFonts w:asciiTheme="minorBidi" w:hAnsiTheme="minorBidi" w:cstheme="minorBidi"/>
          <w:sz w:val="20"/>
          <w:szCs w:val="20"/>
        </w:rPr>
        <w:t xml:space="preserve"> </w:t>
      </w:r>
    </w:p>
    <w:p w14:paraId="5CBABB5F" w14:textId="77777777" w:rsidR="00310185" w:rsidRPr="00415925" w:rsidRDefault="00310185" w:rsidP="00310185">
      <w:pPr>
        <w:pStyle w:val="Default"/>
        <w:numPr>
          <w:ilvl w:val="0"/>
          <w:numId w:val="6"/>
        </w:numPr>
        <w:rPr>
          <w:rFonts w:asciiTheme="minorBidi" w:hAnsiTheme="minorBidi" w:cstheme="minorBidi"/>
          <w:sz w:val="20"/>
          <w:szCs w:val="20"/>
        </w:rPr>
      </w:pPr>
      <w:r w:rsidRPr="00415925">
        <w:rPr>
          <w:rFonts w:asciiTheme="minorBidi" w:hAnsiTheme="minorBidi" w:cstheme="minorBidi"/>
          <w:sz w:val="20"/>
          <w:szCs w:val="20"/>
        </w:rPr>
        <w:t xml:space="preserve">Building designs reflecting the growing popularity of interwar high density flat </w:t>
      </w:r>
      <w:proofErr w:type="gramStart"/>
      <w:r w:rsidRPr="00415925">
        <w:rPr>
          <w:rFonts w:asciiTheme="minorBidi" w:hAnsiTheme="minorBidi" w:cstheme="minorBidi"/>
          <w:sz w:val="20"/>
          <w:szCs w:val="20"/>
        </w:rPr>
        <w:t>development;</w:t>
      </w:r>
      <w:proofErr w:type="gramEnd"/>
      <w:r w:rsidRPr="00415925">
        <w:rPr>
          <w:rFonts w:asciiTheme="minorBidi" w:hAnsiTheme="minorBidi" w:cstheme="minorBidi"/>
          <w:sz w:val="20"/>
          <w:szCs w:val="20"/>
        </w:rPr>
        <w:t xml:space="preserve"> </w:t>
      </w:r>
    </w:p>
    <w:p w14:paraId="67C3ED1F" w14:textId="009836EA" w:rsidR="00310185" w:rsidRPr="00415925" w:rsidRDefault="00310185" w:rsidP="00310185">
      <w:pPr>
        <w:pStyle w:val="Default"/>
        <w:numPr>
          <w:ilvl w:val="0"/>
          <w:numId w:val="6"/>
        </w:numPr>
        <w:rPr>
          <w:rFonts w:asciiTheme="minorBidi" w:hAnsiTheme="minorBidi" w:cstheme="minorBidi"/>
          <w:sz w:val="20"/>
          <w:szCs w:val="20"/>
        </w:rPr>
      </w:pPr>
      <w:r w:rsidRPr="00415925">
        <w:rPr>
          <w:rFonts w:asciiTheme="minorBidi" w:hAnsiTheme="minorBidi" w:cstheme="minorBidi"/>
          <w:sz w:val="20"/>
          <w:szCs w:val="20"/>
        </w:rPr>
        <w:t xml:space="preserve">Building designs responding to the rise in popularity of the motor </w:t>
      </w:r>
      <w:proofErr w:type="gramStart"/>
      <w:r w:rsidRPr="00415925">
        <w:rPr>
          <w:rFonts w:asciiTheme="minorBidi" w:hAnsiTheme="minorBidi" w:cstheme="minorBidi"/>
          <w:sz w:val="20"/>
          <w:szCs w:val="20"/>
        </w:rPr>
        <w:t>car;</w:t>
      </w:r>
      <w:proofErr w:type="gramEnd"/>
      <w:r w:rsidRPr="00415925">
        <w:rPr>
          <w:rFonts w:asciiTheme="minorBidi" w:hAnsiTheme="minorBidi" w:cstheme="minorBidi"/>
          <w:sz w:val="20"/>
          <w:szCs w:val="20"/>
        </w:rPr>
        <w:t xml:space="preserve"> </w:t>
      </w:r>
    </w:p>
    <w:p w14:paraId="626C9D7E" w14:textId="6A7F5BF6" w:rsidR="00310185" w:rsidRPr="00415925" w:rsidRDefault="00310185" w:rsidP="00310185">
      <w:pPr>
        <w:pStyle w:val="Default"/>
        <w:numPr>
          <w:ilvl w:val="0"/>
          <w:numId w:val="6"/>
        </w:numPr>
        <w:rPr>
          <w:rFonts w:asciiTheme="minorBidi" w:hAnsiTheme="minorBidi" w:cstheme="minorBidi"/>
          <w:sz w:val="20"/>
          <w:szCs w:val="20"/>
        </w:rPr>
      </w:pPr>
      <w:r w:rsidRPr="00415925">
        <w:rPr>
          <w:rFonts w:asciiTheme="minorBidi" w:hAnsiTheme="minorBidi" w:cstheme="minorBidi"/>
          <w:sz w:val="20"/>
          <w:szCs w:val="20"/>
        </w:rPr>
        <w:t xml:space="preserve">The absence of vehicle accommodation or other buildings in front or side setback areas; and </w:t>
      </w:r>
    </w:p>
    <w:p w14:paraId="7BE2E5CD" w14:textId="32F7EBF9" w:rsidR="00310185" w:rsidRPr="00415925" w:rsidRDefault="00310185" w:rsidP="00310185">
      <w:pPr>
        <w:pStyle w:val="Default"/>
        <w:numPr>
          <w:ilvl w:val="0"/>
          <w:numId w:val="6"/>
        </w:numPr>
        <w:rPr>
          <w:rFonts w:asciiTheme="minorBidi" w:hAnsiTheme="minorBidi" w:cstheme="minorBidi"/>
          <w:sz w:val="20"/>
          <w:szCs w:val="20"/>
        </w:rPr>
      </w:pPr>
      <w:r w:rsidRPr="00415925">
        <w:rPr>
          <w:rFonts w:asciiTheme="minorBidi" w:hAnsiTheme="minorBidi" w:cstheme="minorBidi"/>
          <w:sz w:val="20"/>
          <w:szCs w:val="20"/>
        </w:rPr>
        <w:t>A garden estate character established by the well-maintained garden settings, low front fences and street trees, particularly the mature oak (</w:t>
      </w:r>
      <w:r w:rsidRPr="00415925">
        <w:rPr>
          <w:rFonts w:asciiTheme="minorBidi" w:hAnsiTheme="minorBidi" w:cstheme="minorBidi"/>
          <w:i/>
          <w:iCs/>
          <w:sz w:val="20"/>
          <w:szCs w:val="20"/>
        </w:rPr>
        <w:t>Quercus</w:t>
      </w:r>
      <w:r w:rsidRPr="00415925">
        <w:rPr>
          <w:rFonts w:asciiTheme="minorBidi" w:hAnsiTheme="minorBidi" w:cstheme="minorBidi"/>
          <w:sz w:val="20"/>
          <w:szCs w:val="20"/>
        </w:rPr>
        <w:t xml:space="preserve">) trees. </w:t>
      </w:r>
    </w:p>
    <w:p w14:paraId="4A96F36A" w14:textId="77777777" w:rsidR="00310185" w:rsidRPr="00415925" w:rsidRDefault="00310185" w:rsidP="00310185">
      <w:pPr>
        <w:pStyle w:val="Default"/>
        <w:rPr>
          <w:rFonts w:asciiTheme="minorBidi" w:hAnsiTheme="minorBidi" w:cstheme="minorBidi"/>
          <w:sz w:val="20"/>
          <w:szCs w:val="20"/>
        </w:rPr>
      </w:pPr>
    </w:p>
    <w:p w14:paraId="2661614F" w14:textId="1C0512C9" w:rsidR="00A15BAC" w:rsidRPr="00415925" w:rsidRDefault="00310185" w:rsidP="00310185">
      <w:pPr>
        <w:pStyle w:val="Default"/>
        <w:rPr>
          <w:rFonts w:asciiTheme="minorBidi" w:hAnsiTheme="minorBidi" w:cstheme="minorBidi"/>
          <w:sz w:val="20"/>
          <w:szCs w:val="20"/>
        </w:rPr>
      </w:pPr>
      <w:r w:rsidRPr="00415925">
        <w:rPr>
          <w:rFonts w:asciiTheme="minorBidi" w:hAnsiTheme="minorBidi" w:cstheme="minorBidi"/>
          <w:sz w:val="20"/>
          <w:szCs w:val="20"/>
          <w:lang w:val="en-AU"/>
        </w:rPr>
        <w:t>Later alterations and additions to the properties are not significant.</w:t>
      </w:r>
    </w:p>
    <w:p w14:paraId="1E1C7A69" w14:textId="77777777" w:rsidR="002C150C" w:rsidRPr="00415925" w:rsidRDefault="002C150C" w:rsidP="00706364">
      <w:pPr>
        <w:keepNext/>
        <w:pBdr>
          <w:bottom w:val="single" w:sz="4" w:space="1" w:color="auto"/>
        </w:pBdr>
        <w:autoSpaceDE w:val="0"/>
        <w:autoSpaceDN w:val="0"/>
        <w:adjustRightInd w:val="0"/>
        <w:spacing w:before="240" w:after="120" w:line="240" w:lineRule="auto"/>
        <w:rPr>
          <w:rFonts w:asciiTheme="minorBidi" w:hAnsiTheme="minorBidi"/>
          <w:b/>
          <w:bCs/>
          <w:sz w:val="20"/>
          <w:szCs w:val="20"/>
        </w:rPr>
      </w:pPr>
      <w:r w:rsidRPr="00415925">
        <w:rPr>
          <w:rFonts w:asciiTheme="minorBidi" w:hAnsiTheme="minorBidi"/>
          <w:b/>
          <w:bCs/>
          <w:sz w:val="20"/>
          <w:szCs w:val="20"/>
        </w:rPr>
        <w:t>How is it significant?</w:t>
      </w:r>
    </w:p>
    <w:p w14:paraId="1B51B764" w14:textId="1EEF052B" w:rsidR="005260A6" w:rsidRPr="005260A6" w:rsidRDefault="00310185" w:rsidP="00310185">
      <w:pPr>
        <w:autoSpaceDE w:val="0"/>
        <w:autoSpaceDN w:val="0"/>
        <w:adjustRightInd w:val="0"/>
        <w:spacing w:after="120" w:line="240" w:lineRule="auto"/>
        <w:rPr>
          <w:rFonts w:ascii="Arial" w:hAnsi="Arial" w:cs="Arial"/>
          <w:sz w:val="20"/>
          <w:szCs w:val="20"/>
          <w:lang w:val="en-US"/>
        </w:rPr>
      </w:pPr>
      <w:r w:rsidRPr="005260A6">
        <w:rPr>
          <w:rFonts w:ascii="Arial" w:hAnsi="Arial" w:cs="Arial"/>
          <w:sz w:val="20"/>
          <w:szCs w:val="20"/>
          <w:lang w:val="en-US"/>
        </w:rPr>
        <w:t>The Hampden Road Precinct is of local historical and aesthetic significance to the City of Stonnington.</w:t>
      </w:r>
      <w:r w:rsidR="005260A6">
        <w:rPr>
          <w:rFonts w:ascii="Arial" w:hAnsi="Arial" w:cs="Arial"/>
          <w:sz w:val="20"/>
          <w:szCs w:val="20"/>
          <w:lang w:val="en-US"/>
        </w:rPr>
        <w:t xml:space="preserve"> </w:t>
      </w:r>
      <w:r w:rsidR="005260A6" w:rsidRPr="005260A6">
        <w:rPr>
          <w:rStyle w:val="normaltextrun"/>
          <w:rFonts w:ascii="Arial" w:hAnsi="Arial" w:cs="Arial"/>
          <w:sz w:val="20"/>
          <w:szCs w:val="20"/>
          <w:shd w:val="clear" w:color="auto" w:fill="FFFFFF"/>
          <w:lang w:val="en-US"/>
        </w:rPr>
        <w:t>The precinct also has associative significance, featuring</w:t>
      </w:r>
      <w:r w:rsidR="005260A6" w:rsidRPr="005260A6">
        <w:rPr>
          <w:rStyle w:val="normaltextrun"/>
          <w:rFonts w:ascii="Arial" w:hAnsi="Arial" w:cs="Arial"/>
          <w:sz w:val="20"/>
          <w:szCs w:val="20"/>
          <w:u w:val="single"/>
          <w:shd w:val="clear" w:color="auto" w:fill="FFFFFF"/>
          <w:lang w:val="en-US"/>
        </w:rPr>
        <w:t xml:space="preserve"> an</w:t>
      </w:r>
      <w:r w:rsidR="005260A6" w:rsidRPr="005260A6">
        <w:rPr>
          <w:rStyle w:val="normaltextrun"/>
          <w:rFonts w:ascii="Arial" w:hAnsi="Arial" w:cs="Arial"/>
          <w:sz w:val="20"/>
          <w:szCs w:val="20"/>
          <w:shd w:val="clear" w:color="auto" w:fill="FFFFFF"/>
          <w:lang w:val="en-US"/>
        </w:rPr>
        <w:t xml:space="preserve"> example of domestic architecture by </w:t>
      </w:r>
      <w:r w:rsidR="005260A6" w:rsidRPr="005260A6">
        <w:rPr>
          <w:rStyle w:val="normaltextrun"/>
          <w:rFonts w:ascii="Arial" w:hAnsi="Arial" w:cs="Arial"/>
          <w:sz w:val="20"/>
          <w:szCs w:val="20"/>
          <w:u w:val="single"/>
          <w:shd w:val="clear" w:color="auto" w:fill="FFFFFF"/>
          <w:lang w:val="en-US"/>
        </w:rPr>
        <w:t xml:space="preserve">a </w:t>
      </w:r>
      <w:r w:rsidR="005260A6" w:rsidRPr="005260A6">
        <w:rPr>
          <w:rStyle w:val="normaltextrun"/>
          <w:rFonts w:ascii="Arial" w:hAnsi="Arial" w:cs="Arial"/>
          <w:sz w:val="20"/>
          <w:szCs w:val="20"/>
          <w:shd w:val="clear" w:color="auto" w:fill="FFFFFF"/>
          <w:lang w:val="en-US"/>
        </w:rPr>
        <w:t>notable architect.</w:t>
      </w:r>
      <w:r w:rsidR="005260A6" w:rsidRPr="005260A6">
        <w:rPr>
          <w:rStyle w:val="eop"/>
          <w:rFonts w:ascii="Arial" w:hAnsi="Arial" w:cs="Arial"/>
          <w:sz w:val="20"/>
          <w:szCs w:val="20"/>
          <w:shd w:val="clear" w:color="auto" w:fill="FFFFFF"/>
        </w:rPr>
        <w:t> </w:t>
      </w:r>
    </w:p>
    <w:p w14:paraId="610D6BC8" w14:textId="77777777" w:rsidR="005260A6" w:rsidRPr="00415925" w:rsidRDefault="005260A6" w:rsidP="00310185">
      <w:pPr>
        <w:autoSpaceDE w:val="0"/>
        <w:autoSpaceDN w:val="0"/>
        <w:adjustRightInd w:val="0"/>
        <w:spacing w:after="120" w:line="240" w:lineRule="auto"/>
        <w:rPr>
          <w:rFonts w:asciiTheme="minorBidi" w:hAnsiTheme="minorBidi"/>
          <w:sz w:val="20"/>
          <w:szCs w:val="20"/>
        </w:rPr>
      </w:pPr>
    </w:p>
    <w:p w14:paraId="1E1C7A6C" w14:textId="77777777" w:rsidR="006B1BDC" w:rsidRPr="00415925" w:rsidRDefault="002C150C" w:rsidP="00706364">
      <w:pPr>
        <w:keepNext/>
        <w:pBdr>
          <w:bottom w:val="single" w:sz="4" w:space="1" w:color="auto"/>
        </w:pBdr>
        <w:autoSpaceDE w:val="0"/>
        <w:autoSpaceDN w:val="0"/>
        <w:adjustRightInd w:val="0"/>
        <w:spacing w:before="240" w:after="120" w:line="240" w:lineRule="auto"/>
        <w:rPr>
          <w:rFonts w:asciiTheme="minorBidi" w:hAnsiTheme="minorBidi"/>
          <w:b/>
          <w:bCs/>
          <w:sz w:val="20"/>
          <w:szCs w:val="20"/>
        </w:rPr>
      </w:pPr>
      <w:r w:rsidRPr="00415925">
        <w:rPr>
          <w:rFonts w:asciiTheme="minorBidi" w:hAnsiTheme="minorBidi"/>
          <w:b/>
          <w:bCs/>
          <w:sz w:val="20"/>
          <w:szCs w:val="20"/>
        </w:rPr>
        <w:t>Why is it significant?</w:t>
      </w:r>
    </w:p>
    <w:p w14:paraId="3CCB0AA2" w14:textId="731D458D" w:rsidR="00310185" w:rsidRPr="00415925" w:rsidRDefault="00310185" w:rsidP="00310185">
      <w:pPr>
        <w:pStyle w:val="Default"/>
        <w:rPr>
          <w:rFonts w:asciiTheme="minorBidi" w:hAnsiTheme="minorBidi" w:cstheme="minorBidi"/>
          <w:sz w:val="20"/>
          <w:szCs w:val="20"/>
        </w:rPr>
      </w:pPr>
      <w:r w:rsidRPr="00415925">
        <w:rPr>
          <w:rFonts w:asciiTheme="minorBidi" w:hAnsiTheme="minorBidi" w:cstheme="minorBidi"/>
          <w:sz w:val="20"/>
          <w:szCs w:val="20"/>
          <w:lang w:val="en-AU"/>
        </w:rPr>
        <w:t xml:space="preserve">The Hampden Road Precinct is historically significant as interwar subdivisions of the Namarong Estate and Avalon Estate respectively, which saw the formation of a wide street with generous allotments </w:t>
      </w:r>
      <w:r w:rsidRPr="00415925">
        <w:rPr>
          <w:rFonts w:asciiTheme="minorBidi" w:hAnsiTheme="minorBidi" w:cstheme="minorBidi"/>
          <w:sz w:val="20"/>
          <w:szCs w:val="20"/>
        </w:rPr>
        <w:t>within Armadale. Both the remnant late Victorian dwellings and diversity of interwar houses and flats erected following the subdivision demonstrates urban character changes that occurred between the late 19th and early to mid 20th century in the City of Stonnington. It is also significant as an illustration of the increasing popularity of apartment living during the inter-war period and</w:t>
      </w:r>
      <w:proofErr w:type="gramStart"/>
      <w:r w:rsidRPr="00415925">
        <w:rPr>
          <w:rFonts w:asciiTheme="minorBidi" w:hAnsiTheme="minorBidi" w:cstheme="minorBidi"/>
          <w:sz w:val="20"/>
          <w:szCs w:val="20"/>
        </w:rPr>
        <w:t>, in particular, demonstrates</w:t>
      </w:r>
      <w:proofErr w:type="gramEnd"/>
      <w:r w:rsidRPr="00415925">
        <w:rPr>
          <w:rFonts w:asciiTheme="minorBidi" w:hAnsiTheme="minorBidi" w:cstheme="minorBidi"/>
          <w:sz w:val="20"/>
          <w:szCs w:val="20"/>
        </w:rPr>
        <w:t xml:space="preserve"> the emergence of maisonettes as an acceptable form of apartment development for middle class families. The precinct forms a tangible link to the interwar subdivision and development story of Armadale. (Criterion A) </w:t>
      </w:r>
    </w:p>
    <w:p w14:paraId="45022024" w14:textId="77777777" w:rsidR="00310185" w:rsidRPr="000D0104" w:rsidRDefault="00310185" w:rsidP="00310185">
      <w:pPr>
        <w:pStyle w:val="Default"/>
        <w:rPr>
          <w:sz w:val="20"/>
          <w:szCs w:val="20"/>
        </w:rPr>
      </w:pPr>
    </w:p>
    <w:p w14:paraId="5DCC2DAE" w14:textId="77777777" w:rsidR="005260A6" w:rsidRPr="005260A6" w:rsidRDefault="005260A6" w:rsidP="005260A6">
      <w:pPr>
        <w:pStyle w:val="paragraph"/>
        <w:spacing w:before="0" w:beforeAutospacing="0" w:after="0" w:afterAutospacing="0"/>
        <w:textAlignment w:val="baseline"/>
        <w:rPr>
          <w:rStyle w:val="eop"/>
          <w:rFonts w:ascii="Arial" w:hAnsi="Arial" w:cs="Arial"/>
          <w:sz w:val="20"/>
          <w:szCs w:val="20"/>
        </w:rPr>
      </w:pPr>
      <w:r w:rsidRPr="005260A6">
        <w:rPr>
          <w:rStyle w:val="normaltextrun"/>
          <w:rFonts w:ascii="Arial" w:hAnsi="Arial" w:cs="Arial"/>
          <w:sz w:val="20"/>
          <w:szCs w:val="20"/>
          <w:lang w:val="en-US"/>
        </w:rPr>
        <w:t xml:space="preserve">The Hampden Road Precinct is aesthetically significant an intact and visually cohesive residential streetscape characterised by </w:t>
      </w:r>
      <w:proofErr w:type="gramStart"/>
      <w:r w:rsidRPr="005260A6">
        <w:rPr>
          <w:rStyle w:val="normaltextrun"/>
          <w:rFonts w:ascii="Arial" w:hAnsi="Arial" w:cs="Arial"/>
          <w:sz w:val="20"/>
          <w:szCs w:val="20"/>
          <w:lang w:val="en-US"/>
        </w:rPr>
        <w:t>a large number of</w:t>
      </w:r>
      <w:proofErr w:type="gramEnd"/>
      <w:r w:rsidRPr="005260A6">
        <w:rPr>
          <w:rStyle w:val="normaltextrun"/>
          <w:rFonts w:ascii="Arial" w:hAnsi="Arial" w:cs="Arial"/>
          <w:sz w:val="20"/>
          <w:szCs w:val="20"/>
          <w:lang w:val="en-US"/>
        </w:rPr>
        <w:t xml:space="preserve"> fine, well-detailed</w:t>
      </w:r>
      <w:r w:rsidRPr="005260A6">
        <w:rPr>
          <w:rStyle w:val="normaltextrun"/>
          <w:rFonts w:ascii="Arial" w:hAnsi="Arial" w:cs="Arial"/>
          <w:strike/>
          <w:sz w:val="20"/>
          <w:szCs w:val="20"/>
          <w:lang w:val="en-US"/>
        </w:rPr>
        <w:t xml:space="preserve"> </w:t>
      </w:r>
      <w:r w:rsidRPr="005260A6">
        <w:rPr>
          <w:rStyle w:val="normaltextrun"/>
          <w:rFonts w:ascii="Arial" w:hAnsi="Arial" w:cs="Arial"/>
          <w:sz w:val="20"/>
          <w:szCs w:val="20"/>
          <w:lang w:val="en-US"/>
        </w:rPr>
        <w:t xml:space="preserve">and cohesive freestanding residences, apartment buildings and maisonettes from the interwar era, including several examples designed by notable architects from the period. These buildings are designed in the interwar Old English, Georgian Revival (with Mediterranean influences), American Bungalow, Mediterranean and Streamline Moderne styles, and display cohesion through built form, materials, siting, </w:t>
      </w:r>
      <w:proofErr w:type="gramStart"/>
      <w:r w:rsidRPr="005260A6">
        <w:rPr>
          <w:rStyle w:val="normaltextrun"/>
          <w:rFonts w:ascii="Arial" w:hAnsi="Arial" w:cs="Arial"/>
          <w:sz w:val="20"/>
          <w:szCs w:val="20"/>
          <w:lang w:val="en-US"/>
        </w:rPr>
        <w:t>setbacks</w:t>
      </w:r>
      <w:proofErr w:type="gramEnd"/>
      <w:r w:rsidRPr="005260A6">
        <w:rPr>
          <w:rStyle w:val="normaltextrun"/>
          <w:rFonts w:ascii="Arial" w:hAnsi="Arial" w:cs="Arial"/>
          <w:sz w:val="20"/>
          <w:szCs w:val="20"/>
          <w:lang w:val="en-US"/>
        </w:rPr>
        <w:t xml:space="preserve"> and heights. The elegant detailing and complementary scale, forms and materials of the Victorian Italianate mansions also enhance the aesthetic significance of the place These features, combined with the strong garden estate character established by well-maintained gardens, low front fences and street trees, particularly the mature oak (</w:t>
      </w:r>
      <w:r w:rsidRPr="005260A6">
        <w:rPr>
          <w:rStyle w:val="normaltextrun"/>
          <w:rFonts w:ascii="Arial" w:hAnsi="Arial" w:cs="Arial"/>
          <w:i/>
          <w:iCs/>
          <w:sz w:val="20"/>
          <w:szCs w:val="20"/>
          <w:lang w:val="en-US"/>
        </w:rPr>
        <w:t>Quercus</w:t>
      </w:r>
      <w:r w:rsidRPr="005260A6">
        <w:rPr>
          <w:rStyle w:val="normaltextrun"/>
          <w:rFonts w:ascii="Arial" w:hAnsi="Arial" w:cs="Arial"/>
          <w:sz w:val="20"/>
          <w:szCs w:val="20"/>
          <w:lang w:val="en-US"/>
        </w:rPr>
        <w:t>) trees, combine to form a harmonious and attractive residential area. (Criterion E)</w:t>
      </w:r>
      <w:r w:rsidRPr="005260A6">
        <w:rPr>
          <w:rStyle w:val="eop"/>
          <w:rFonts w:ascii="Arial" w:hAnsi="Arial" w:cs="Arial"/>
          <w:sz w:val="20"/>
          <w:szCs w:val="20"/>
        </w:rPr>
        <w:t> </w:t>
      </w:r>
    </w:p>
    <w:p w14:paraId="18289ABB" w14:textId="77777777" w:rsidR="005260A6" w:rsidRPr="005260A6" w:rsidRDefault="005260A6" w:rsidP="005260A6">
      <w:pPr>
        <w:pStyle w:val="paragraph"/>
        <w:spacing w:before="0" w:beforeAutospacing="0" w:after="0" w:afterAutospacing="0"/>
        <w:textAlignment w:val="baseline"/>
        <w:rPr>
          <w:rFonts w:ascii="Arial" w:hAnsi="Arial" w:cs="Arial"/>
          <w:sz w:val="20"/>
          <w:szCs w:val="20"/>
        </w:rPr>
      </w:pPr>
    </w:p>
    <w:p w14:paraId="7D01648B" w14:textId="77777777" w:rsidR="005260A6" w:rsidRPr="005260A6" w:rsidRDefault="005260A6" w:rsidP="005260A6">
      <w:pPr>
        <w:pStyle w:val="paragraph"/>
        <w:spacing w:before="0" w:beforeAutospacing="0" w:after="0" w:afterAutospacing="0"/>
        <w:textAlignment w:val="baseline"/>
        <w:rPr>
          <w:rFonts w:ascii="Arial" w:hAnsi="Arial" w:cs="Arial"/>
          <w:sz w:val="20"/>
          <w:szCs w:val="20"/>
        </w:rPr>
      </w:pPr>
      <w:r w:rsidRPr="005260A6">
        <w:rPr>
          <w:rStyle w:val="normaltextrun"/>
          <w:rFonts w:ascii="Arial" w:hAnsi="Arial" w:cs="Arial"/>
          <w:sz w:val="20"/>
          <w:szCs w:val="20"/>
          <w:lang w:val="en-US"/>
        </w:rPr>
        <w:t>The Hampden Road Precinct has associative significance, featuring an example of the domestic Interwar work of noted architect Arnaud E. Wright (13-15 Avalon Road). (Criterion H)</w:t>
      </w:r>
      <w:r w:rsidRPr="005260A6">
        <w:rPr>
          <w:rStyle w:val="eop"/>
          <w:rFonts w:ascii="Arial" w:hAnsi="Arial" w:cs="Arial"/>
          <w:sz w:val="20"/>
          <w:szCs w:val="20"/>
        </w:rPr>
        <w:t> </w:t>
      </w:r>
    </w:p>
    <w:p w14:paraId="5463CFA7" w14:textId="7D97F0E6" w:rsidR="00310185" w:rsidRPr="00415925" w:rsidRDefault="00310185" w:rsidP="00310185">
      <w:pPr>
        <w:pStyle w:val="Default"/>
        <w:rPr>
          <w:rFonts w:asciiTheme="minorBidi" w:hAnsiTheme="minorBidi" w:cstheme="minorBidi"/>
          <w:sz w:val="20"/>
          <w:szCs w:val="20"/>
        </w:rPr>
      </w:pPr>
      <w:r w:rsidRPr="00415925">
        <w:rPr>
          <w:rFonts w:asciiTheme="minorBidi" w:hAnsiTheme="minorBidi" w:cstheme="minorBidi"/>
          <w:sz w:val="20"/>
          <w:szCs w:val="20"/>
        </w:rPr>
        <w:t xml:space="preserve"> </w:t>
      </w:r>
    </w:p>
    <w:p w14:paraId="31570102" w14:textId="6121961D" w:rsidR="000A59AB" w:rsidRPr="00415925" w:rsidRDefault="000A59AB" w:rsidP="000A59AB">
      <w:pPr>
        <w:keepNext/>
        <w:pBdr>
          <w:bottom w:val="single" w:sz="4" w:space="1" w:color="auto"/>
        </w:pBdr>
        <w:autoSpaceDE w:val="0"/>
        <w:autoSpaceDN w:val="0"/>
        <w:adjustRightInd w:val="0"/>
        <w:spacing w:before="240" w:after="120" w:line="240" w:lineRule="auto"/>
        <w:rPr>
          <w:rFonts w:asciiTheme="minorBidi" w:hAnsiTheme="minorBidi"/>
          <w:b/>
          <w:bCs/>
          <w:sz w:val="20"/>
          <w:szCs w:val="20"/>
        </w:rPr>
      </w:pPr>
      <w:r w:rsidRPr="00415925">
        <w:rPr>
          <w:rFonts w:asciiTheme="minorBidi" w:hAnsiTheme="minorBidi"/>
          <w:b/>
          <w:bCs/>
          <w:sz w:val="20"/>
          <w:szCs w:val="20"/>
        </w:rPr>
        <w:t>Grades</w:t>
      </w:r>
    </w:p>
    <w:p w14:paraId="718FCB65" w14:textId="1A50C727" w:rsidR="00825E44" w:rsidRPr="00415925" w:rsidRDefault="00825E44" w:rsidP="00310185">
      <w:pPr>
        <w:spacing w:after="0"/>
        <w:ind w:firstLine="75"/>
        <w:rPr>
          <w:rStyle w:val="SuperscriptCharacter"/>
          <w:rFonts w:asciiTheme="minorBidi" w:hAnsiTheme="minorBidi"/>
          <w:sz w:val="20"/>
          <w:szCs w:val="20"/>
        </w:rPr>
      </w:pPr>
    </w:p>
    <w:tbl>
      <w:tblPr>
        <w:tblStyle w:val="ExtentHeaderCentre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7"/>
      </w:tblGrid>
      <w:tr w:rsidR="00310185" w:rsidRPr="00415925" w14:paraId="2E5F611E" w14:textId="77777777" w:rsidTr="0041592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61" w:type="dxa"/>
            <w:shd w:val="clear" w:color="auto" w:fill="D5DCE4" w:themeFill="text2" w:themeFillTint="33"/>
            <w:hideMark/>
          </w:tcPr>
          <w:p w14:paraId="67C82727" w14:textId="77777777" w:rsidR="00310185" w:rsidRPr="00415925" w:rsidRDefault="00310185">
            <w:pPr>
              <w:spacing w:before="60" w:beforeAutospacing="0" w:after="60" w:afterAutospacing="0"/>
              <w:rPr>
                <w:rStyle w:val="ItalicCharacter"/>
                <w:rFonts w:asciiTheme="minorBidi" w:hAnsiTheme="minorBidi"/>
                <w:i w:val="0"/>
                <w:color w:val="auto"/>
                <w:lang w:val="en-US"/>
              </w:rPr>
            </w:pPr>
            <w:r w:rsidRPr="00415925">
              <w:rPr>
                <w:rStyle w:val="ItalicCharacter"/>
                <w:rFonts w:asciiTheme="minorBidi" w:hAnsiTheme="minorBidi"/>
                <w:b w:val="0"/>
                <w:i w:val="0"/>
                <w:color w:val="auto"/>
                <w:lang w:val="en-US"/>
              </w:rPr>
              <w:t>Place address</w:t>
            </w:r>
          </w:p>
        </w:tc>
        <w:tc>
          <w:tcPr>
            <w:tcW w:w="2127" w:type="dxa"/>
            <w:shd w:val="clear" w:color="auto" w:fill="D5DCE4" w:themeFill="text2" w:themeFillTint="33"/>
            <w:hideMark/>
          </w:tcPr>
          <w:p w14:paraId="162BEE3D" w14:textId="77777777" w:rsidR="00310185" w:rsidRPr="00415925" w:rsidRDefault="00310185">
            <w:pPr>
              <w:spacing w:before="60" w:beforeAutospacing="0" w:after="60" w:afterAutospacing="0"/>
              <w:cnfStyle w:val="100000000000" w:firstRow="1"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b w:val="0"/>
                <w:i w:val="0"/>
                <w:color w:val="auto"/>
                <w:lang w:val="en-US"/>
              </w:rPr>
              <w:t>Proposed Grading</w:t>
            </w:r>
          </w:p>
        </w:tc>
      </w:tr>
      <w:tr w:rsidR="00310185" w:rsidRPr="00415925" w14:paraId="5D9A01B6"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1C1D9644" w14:textId="77777777" w:rsidR="00310185" w:rsidRPr="00415925" w:rsidRDefault="00310185">
            <w:pPr>
              <w:rPr>
                <w:rStyle w:val="ItalicCharacter"/>
                <w:rFonts w:asciiTheme="minorBidi" w:hAnsiTheme="minorBidi"/>
                <w:i w:val="0"/>
                <w:color w:val="auto"/>
                <w:lang w:val="en-US"/>
              </w:rPr>
            </w:pPr>
            <w:r w:rsidRPr="00415925">
              <w:rPr>
                <w:rFonts w:asciiTheme="minorBidi" w:hAnsiTheme="minorBidi"/>
                <w:color w:val="auto"/>
                <w:lang w:val="en-US"/>
              </w:rPr>
              <w:t>9/29B Hampden Road</w:t>
            </w:r>
          </w:p>
        </w:tc>
        <w:tc>
          <w:tcPr>
            <w:tcW w:w="2127" w:type="dxa"/>
            <w:vAlign w:val="top"/>
            <w:hideMark/>
          </w:tcPr>
          <w:p w14:paraId="2D8B8C81"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 xml:space="preserve">Contributory </w:t>
            </w:r>
          </w:p>
        </w:tc>
      </w:tr>
      <w:tr w:rsidR="00310185" w:rsidRPr="00415925" w14:paraId="7A83633D"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78407C94" w14:textId="77777777" w:rsidR="00310185" w:rsidRPr="00415925" w:rsidRDefault="00310185">
            <w:pPr>
              <w:rPr>
                <w:rStyle w:val="ItalicCharacter"/>
                <w:rFonts w:asciiTheme="minorBidi" w:hAnsiTheme="minorBidi"/>
                <w:i w:val="0"/>
                <w:color w:val="auto"/>
                <w:lang w:val="en-US"/>
              </w:rPr>
            </w:pPr>
            <w:r w:rsidRPr="00415925">
              <w:rPr>
                <w:rFonts w:asciiTheme="minorBidi" w:hAnsiTheme="minorBidi"/>
                <w:color w:val="auto"/>
                <w:lang w:val="en-US"/>
              </w:rPr>
              <w:t>30 Hampden Road</w:t>
            </w:r>
          </w:p>
        </w:tc>
        <w:tc>
          <w:tcPr>
            <w:tcW w:w="2127" w:type="dxa"/>
            <w:vAlign w:val="top"/>
            <w:hideMark/>
          </w:tcPr>
          <w:p w14:paraId="392278DC"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 xml:space="preserve">Contributory </w:t>
            </w:r>
          </w:p>
        </w:tc>
      </w:tr>
      <w:tr w:rsidR="00310185" w:rsidRPr="00415925" w14:paraId="14A854B0"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1D831AC4" w14:textId="77777777" w:rsidR="00310185" w:rsidRPr="00415925" w:rsidRDefault="00310185">
            <w:pPr>
              <w:rPr>
                <w:rStyle w:val="ItalicCharacter"/>
                <w:rFonts w:asciiTheme="minorBidi" w:hAnsiTheme="minorBidi"/>
                <w:i w:val="0"/>
                <w:color w:val="auto"/>
                <w:lang w:val="en-US"/>
              </w:rPr>
            </w:pPr>
            <w:r w:rsidRPr="00415925">
              <w:rPr>
                <w:rFonts w:asciiTheme="minorBidi" w:hAnsiTheme="minorBidi"/>
                <w:color w:val="auto"/>
                <w:lang w:val="en-US"/>
              </w:rPr>
              <w:t>32 Hampden Road</w:t>
            </w:r>
          </w:p>
        </w:tc>
        <w:tc>
          <w:tcPr>
            <w:tcW w:w="2127" w:type="dxa"/>
            <w:vAlign w:val="top"/>
            <w:hideMark/>
          </w:tcPr>
          <w:p w14:paraId="162B42A4"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 xml:space="preserve">Contributory </w:t>
            </w:r>
          </w:p>
        </w:tc>
      </w:tr>
      <w:tr w:rsidR="00310185" w:rsidRPr="00415925" w14:paraId="713A77F4"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18C5A5E1"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lastRenderedPageBreak/>
              <w:t>34 Hampden Road</w:t>
            </w:r>
          </w:p>
        </w:tc>
        <w:tc>
          <w:tcPr>
            <w:tcW w:w="2127" w:type="dxa"/>
            <w:vAlign w:val="top"/>
            <w:hideMark/>
          </w:tcPr>
          <w:p w14:paraId="56ED85FF"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 xml:space="preserve">Contributory </w:t>
            </w:r>
          </w:p>
        </w:tc>
      </w:tr>
      <w:tr w:rsidR="00310185" w:rsidRPr="00415925" w14:paraId="0B820FA7"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6B18B031"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35 Hampden Road</w:t>
            </w:r>
          </w:p>
        </w:tc>
        <w:tc>
          <w:tcPr>
            <w:tcW w:w="2127" w:type="dxa"/>
            <w:vAlign w:val="top"/>
            <w:hideMark/>
          </w:tcPr>
          <w:p w14:paraId="157A2FA2"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 xml:space="preserve">Contributory </w:t>
            </w:r>
          </w:p>
        </w:tc>
      </w:tr>
      <w:tr w:rsidR="00310185" w:rsidRPr="00415925" w14:paraId="5AD810B7"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179F3D2E"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36 Hampden Road</w:t>
            </w:r>
          </w:p>
        </w:tc>
        <w:tc>
          <w:tcPr>
            <w:tcW w:w="2127" w:type="dxa"/>
            <w:vAlign w:val="top"/>
            <w:hideMark/>
          </w:tcPr>
          <w:p w14:paraId="7C9AD486"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 xml:space="preserve">Contributory </w:t>
            </w:r>
          </w:p>
        </w:tc>
      </w:tr>
      <w:tr w:rsidR="00310185" w:rsidRPr="00415925" w14:paraId="2E207A64"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2E061605"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37 Hampden Road</w:t>
            </w:r>
          </w:p>
        </w:tc>
        <w:tc>
          <w:tcPr>
            <w:tcW w:w="2127" w:type="dxa"/>
            <w:vAlign w:val="top"/>
            <w:hideMark/>
          </w:tcPr>
          <w:p w14:paraId="7F2AF5B1"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 xml:space="preserve">Contributory </w:t>
            </w:r>
          </w:p>
        </w:tc>
      </w:tr>
      <w:tr w:rsidR="00310185" w:rsidRPr="00415925" w14:paraId="20149C71"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2F04282B"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38 Hampden Road</w:t>
            </w:r>
          </w:p>
        </w:tc>
        <w:tc>
          <w:tcPr>
            <w:tcW w:w="2127" w:type="dxa"/>
            <w:vAlign w:val="top"/>
            <w:hideMark/>
          </w:tcPr>
          <w:p w14:paraId="20D4D5A3"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 xml:space="preserve">Contributory </w:t>
            </w:r>
          </w:p>
        </w:tc>
      </w:tr>
      <w:tr w:rsidR="00310185" w:rsidRPr="00415925" w14:paraId="762CBDEE"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51C266CD"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39 Hampden Road</w:t>
            </w:r>
          </w:p>
        </w:tc>
        <w:tc>
          <w:tcPr>
            <w:tcW w:w="2127" w:type="dxa"/>
            <w:vAlign w:val="top"/>
            <w:hideMark/>
          </w:tcPr>
          <w:p w14:paraId="4634E472"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 xml:space="preserve">Contributory </w:t>
            </w:r>
          </w:p>
        </w:tc>
      </w:tr>
      <w:tr w:rsidR="00310185" w:rsidRPr="00415925" w14:paraId="55B98C75"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2D7F4F78"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40 Hampden Road</w:t>
            </w:r>
          </w:p>
        </w:tc>
        <w:tc>
          <w:tcPr>
            <w:tcW w:w="2127" w:type="dxa"/>
            <w:vAlign w:val="top"/>
            <w:hideMark/>
          </w:tcPr>
          <w:p w14:paraId="2E037558"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 xml:space="preserve">Contributory </w:t>
            </w:r>
          </w:p>
        </w:tc>
      </w:tr>
      <w:tr w:rsidR="00310185" w:rsidRPr="00415925" w14:paraId="7EDA6CCF"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4A4E3607"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41 Hampden Road</w:t>
            </w:r>
          </w:p>
        </w:tc>
        <w:tc>
          <w:tcPr>
            <w:tcW w:w="2127" w:type="dxa"/>
            <w:vAlign w:val="top"/>
            <w:hideMark/>
          </w:tcPr>
          <w:p w14:paraId="5C6A8E1A"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Non-contributory</w:t>
            </w:r>
          </w:p>
        </w:tc>
      </w:tr>
      <w:tr w:rsidR="00310185" w:rsidRPr="00415925" w14:paraId="4FCC784F"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1C8D3A96"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42 Hampden Road</w:t>
            </w:r>
          </w:p>
        </w:tc>
        <w:tc>
          <w:tcPr>
            <w:tcW w:w="2127" w:type="dxa"/>
            <w:vAlign w:val="top"/>
            <w:hideMark/>
          </w:tcPr>
          <w:p w14:paraId="25D74DB2"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 xml:space="preserve">Contributory </w:t>
            </w:r>
          </w:p>
        </w:tc>
      </w:tr>
      <w:tr w:rsidR="00310185" w:rsidRPr="00415925" w14:paraId="59E76A76"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723055F3"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43 Hampden Road</w:t>
            </w:r>
          </w:p>
        </w:tc>
        <w:tc>
          <w:tcPr>
            <w:tcW w:w="2127" w:type="dxa"/>
            <w:vAlign w:val="top"/>
            <w:hideMark/>
          </w:tcPr>
          <w:p w14:paraId="0F7D6DBB"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 xml:space="preserve">Contributory </w:t>
            </w:r>
          </w:p>
        </w:tc>
      </w:tr>
      <w:tr w:rsidR="00310185" w:rsidRPr="00415925" w14:paraId="41A4E2DE"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1DEC0E4E"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44 Hampden Road</w:t>
            </w:r>
          </w:p>
        </w:tc>
        <w:tc>
          <w:tcPr>
            <w:tcW w:w="2127" w:type="dxa"/>
            <w:vAlign w:val="top"/>
            <w:hideMark/>
          </w:tcPr>
          <w:p w14:paraId="4B4F70BD"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Non-contributory</w:t>
            </w:r>
          </w:p>
        </w:tc>
      </w:tr>
      <w:tr w:rsidR="00310185" w:rsidRPr="00415925" w14:paraId="1011154F"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6DA0412D"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45 Hampden Road</w:t>
            </w:r>
          </w:p>
        </w:tc>
        <w:tc>
          <w:tcPr>
            <w:tcW w:w="2127" w:type="dxa"/>
            <w:vAlign w:val="top"/>
            <w:hideMark/>
          </w:tcPr>
          <w:p w14:paraId="40802B7C"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 xml:space="preserve">Contributory </w:t>
            </w:r>
          </w:p>
        </w:tc>
      </w:tr>
      <w:tr w:rsidR="00310185" w:rsidRPr="00415925" w14:paraId="20EA43A1"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7A6B2255"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46 Hampden Road</w:t>
            </w:r>
          </w:p>
        </w:tc>
        <w:tc>
          <w:tcPr>
            <w:tcW w:w="2127" w:type="dxa"/>
            <w:vAlign w:val="top"/>
            <w:hideMark/>
          </w:tcPr>
          <w:p w14:paraId="55F7DD1B"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Non-contributory</w:t>
            </w:r>
          </w:p>
        </w:tc>
      </w:tr>
      <w:tr w:rsidR="00310185" w:rsidRPr="00415925" w14:paraId="2FF4BD8B"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563143C4" w14:textId="77777777" w:rsidR="00310185" w:rsidRPr="00415925" w:rsidRDefault="00310185">
            <w:pPr>
              <w:rPr>
                <w:rFonts w:asciiTheme="minorBidi" w:hAnsiTheme="minorBidi"/>
                <w:color w:val="auto"/>
              </w:rPr>
            </w:pPr>
            <w:r w:rsidRPr="00415925">
              <w:rPr>
                <w:rStyle w:val="ItalicCharacter"/>
                <w:rFonts w:asciiTheme="minorBidi" w:hAnsiTheme="minorBidi"/>
                <w:i w:val="0"/>
                <w:color w:val="auto"/>
                <w:lang w:val="en-US"/>
              </w:rPr>
              <w:t>48 Hampden Road</w:t>
            </w:r>
          </w:p>
        </w:tc>
        <w:tc>
          <w:tcPr>
            <w:tcW w:w="2127" w:type="dxa"/>
            <w:vAlign w:val="top"/>
            <w:hideMark/>
          </w:tcPr>
          <w:p w14:paraId="457B8D9E"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Non-contributory</w:t>
            </w:r>
          </w:p>
        </w:tc>
      </w:tr>
      <w:tr w:rsidR="00310185" w:rsidRPr="00415925" w14:paraId="2FFF8237"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5B183A7D"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48/A Hampden Road</w:t>
            </w:r>
          </w:p>
        </w:tc>
        <w:tc>
          <w:tcPr>
            <w:tcW w:w="2127" w:type="dxa"/>
            <w:vAlign w:val="top"/>
            <w:hideMark/>
          </w:tcPr>
          <w:p w14:paraId="53B05D7E"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Non-contributory</w:t>
            </w:r>
          </w:p>
        </w:tc>
      </w:tr>
      <w:tr w:rsidR="00310185" w:rsidRPr="00415925" w14:paraId="6452B1EF"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783350D8"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1/50 Hampden Road</w:t>
            </w:r>
          </w:p>
        </w:tc>
        <w:tc>
          <w:tcPr>
            <w:tcW w:w="2127" w:type="dxa"/>
            <w:vAlign w:val="top"/>
            <w:hideMark/>
          </w:tcPr>
          <w:p w14:paraId="25A27441"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Non-contributory</w:t>
            </w:r>
          </w:p>
        </w:tc>
      </w:tr>
      <w:tr w:rsidR="00310185" w:rsidRPr="00415925" w14:paraId="10002C8B"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5381133C"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52 Hampden Road</w:t>
            </w:r>
          </w:p>
        </w:tc>
        <w:tc>
          <w:tcPr>
            <w:tcW w:w="2127" w:type="dxa"/>
            <w:vAlign w:val="top"/>
            <w:hideMark/>
          </w:tcPr>
          <w:p w14:paraId="3BFDBB1D"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Significant</w:t>
            </w:r>
          </w:p>
        </w:tc>
      </w:tr>
      <w:tr w:rsidR="00310185" w:rsidRPr="00415925" w14:paraId="758047DE"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71B97E46"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10 Avalon Road</w:t>
            </w:r>
          </w:p>
        </w:tc>
        <w:tc>
          <w:tcPr>
            <w:tcW w:w="2127" w:type="dxa"/>
            <w:vAlign w:val="top"/>
            <w:hideMark/>
          </w:tcPr>
          <w:p w14:paraId="2DCB90D7"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 xml:space="preserve">Contributory </w:t>
            </w:r>
          </w:p>
        </w:tc>
      </w:tr>
      <w:tr w:rsidR="005260A6" w:rsidRPr="00415925" w14:paraId="5435CA14"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tcPr>
          <w:p w14:paraId="3CD3AAFB" w14:textId="402F4D96" w:rsidR="005260A6" w:rsidRPr="00415925" w:rsidRDefault="005260A6">
            <w:pPr>
              <w:rPr>
                <w:rStyle w:val="ItalicCharacter"/>
                <w:rFonts w:asciiTheme="minorBidi" w:hAnsiTheme="minorBidi"/>
                <w:i w:val="0"/>
                <w:lang w:val="en-US"/>
              </w:rPr>
            </w:pPr>
            <w:r>
              <w:rPr>
                <w:rStyle w:val="ItalicCharacter"/>
                <w:rFonts w:asciiTheme="minorBidi" w:hAnsiTheme="minorBidi"/>
                <w:i w:val="0"/>
                <w:lang w:val="en-US"/>
              </w:rPr>
              <w:t xml:space="preserve">13-15 Avalon Road </w:t>
            </w:r>
          </w:p>
        </w:tc>
        <w:tc>
          <w:tcPr>
            <w:tcW w:w="2127" w:type="dxa"/>
            <w:vAlign w:val="top"/>
          </w:tcPr>
          <w:p w14:paraId="1F532817" w14:textId="7ED0E58E" w:rsidR="005260A6" w:rsidRPr="00415925" w:rsidRDefault="005260A6">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lang w:val="en-US"/>
              </w:rPr>
            </w:pPr>
            <w:r>
              <w:rPr>
                <w:rStyle w:val="ItalicCharacter"/>
                <w:rFonts w:asciiTheme="minorBidi" w:hAnsiTheme="minorBidi"/>
                <w:i w:val="0"/>
                <w:lang w:val="en-US"/>
              </w:rPr>
              <w:t xml:space="preserve">Contributory </w:t>
            </w:r>
          </w:p>
        </w:tc>
      </w:tr>
      <w:tr w:rsidR="00310185" w:rsidRPr="00415925" w14:paraId="4FF2DEC3"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2C36FBFC"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5/371 Dandenong Road</w:t>
            </w:r>
          </w:p>
        </w:tc>
        <w:tc>
          <w:tcPr>
            <w:tcW w:w="2127" w:type="dxa"/>
            <w:vAlign w:val="top"/>
            <w:hideMark/>
          </w:tcPr>
          <w:p w14:paraId="13918047"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 xml:space="preserve">Contributory </w:t>
            </w:r>
          </w:p>
        </w:tc>
      </w:tr>
      <w:tr w:rsidR="00310185" w:rsidRPr="00415925" w14:paraId="3426F1EE"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3358B6CF"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373-375 Dandenong Road</w:t>
            </w:r>
          </w:p>
        </w:tc>
        <w:tc>
          <w:tcPr>
            <w:tcW w:w="2127" w:type="dxa"/>
            <w:vAlign w:val="top"/>
            <w:hideMark/>
          </w:tcPr>
          <w:p w14:paraId="11C7AC3A"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Significant</w:t>
            </w:r>
          </w:p>
        </w:tc>
      </w:tr>
      <w:tr w:rsidR="00310185" w:rsidRPr="00415925" w14:paraId="51AD229A"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551C0E87"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375 Dandenong Road</w:t>
            </w:r>
          </w:p>
        </w:tc>
        <w:tc>
          <w:tcPr>
            <w:tcW w:w="2127" w:type="dxa"/>
            <w:vAlign w:val="top"/>
            <w:hideMark/>
          </w:tcPr>
          <w:p w14:paraId="5AE9AD60"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 xml:space="preserve">Contributory </w:t>
            </w:r>
          </w:p>
        </w:tc>
      </w:tr>
      <w:tr w:rsidR="00310185" w:rsidRPr="00415925" w14:paraId="20D33D71" w14:textId="77777777" w:rsidTr="00415925">
        <w:tc>
          <w:tcPr>
            <w:cnfStyle w:val="001000000000" w:firstRow="0" w:lastRow="0" w:firstColumn="1" w:lastColumn="0" w:oddVBand="0" w:evenVBand="0" w:oddHBand="0" w:evenHBand="0" w:firstRowFirstColumn="0" w:firstRowLastColumn="0" w:lastRowFirstColumn="0" w:lastRowLastColumn="0"/>
            <w:tcW w:w="3261" w:type="dxa"/>
            <w:vAlign w:val="top"/>
            <w:hideMark/>
          </w:tcPr>
          <w:p w14:paraId="7A1548E8" w14:textId="77777777" w:rsidR="00310185" w:rsidRPr="00415925" w:rsidRDefault="00310185">
            <w:pPr>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4/377 Dandenong Road</w:t>
            </w:r>
          </w:p>
        </w:tc>
        <w:tc>
          <w:tcPr>
            <w:tcW w:w="2127" w:type="dxa"/>
            <w:vAlign w:val="top"/>
            <w:hideMark/>
          </w:tcPr>
          <w:p w14:paraId="58A08320" w14:textId="77777777" w:rsidR="00310185" w:rsidRPr="00415925" w:rsidRDefault="00310185">
            <w:pPr>
              <w:cnfStyle w:val="000000000000" w:firstRow="0" w:lastRow="0" w:firstColumn="0" w:lastColumn="0" w:oddVBand="0" w:evenVBand="0" w:oddHBand="0" w:evenHBand="0" w:firstRowFirstColumn="0" w:firstRowLastColumn="0" w:lastRowFirstColumn="0" w:lastRowLastColumn="0"/>
              <w:rPr>
                <w:rStyle w:val="ItalicCharacter"/>
                <w:rFonts w:asciiTheme="minorBidi" w:hAnsiTheme="minorBidi"/>
                <w:i w:val="0"/>
                <w:color w:val="auto"/>
                <w:lang w:val="en-US"/>
              </w:rPr>
            </w:pPr>
            <w:r w:rsidRPr="00415925">
              <w:rPr>
                <w:rStyle w:val="ItalicCharacter"/>
                <w:rFonts w:asciiTheme="minorBidi" w:hAnsiTheme="minorBidi"/>
                <w:i w:val="0"/>
                <w:color w:val="auto"/>
                <w:lang w:val="en-US"/>
              </w:rPr>
              <w:t xml:space="preserve">Contributory </w:t>
            </w:r>
          </w:p>
        </w:tc>
      </w:tr>
    </w:tbl>
    <w:p w14:paraId="47F1CDDF" w14:textId="1780B6D6" w:rsidR="00310185" w:rsidRDefault="00310185" w:rsidP="00310185">
      <w:pPr>
        <w:spacing w:after="0"/>
        <w:ind w:firstLine="75"/>
        <w:rPr>
          <w:rFonts w:asciiTheme="minorBidi" w:hAnsiTheme="minorBidi"/>
          <w:sz w:val="20"/>
          <w:szCs w:val="20"/>
        </w:rPr>
      </w:pPr>
    </w:p>
    <w:p w14:paraId="679B83A1" w14:textId="77777777" w:rsidR="00415925" w:rsidRPr="00310185" w:rsidRDefault="00415925" w:rsidP="00415925">
      <w:pPr>
        <w:spacing w:after="0"/>
        <w:jc w:val="right"/>
        <w:rPr>
          <w:rStyle w:val="SuperscriptCharacter"/>
          <w:rFonts w:ascii="HelveticaNeueLT Std" w:hAnsi="HelveticaNeueLT Std"/>
        </w:rPr>
      </w:pPr>
      <w:r w:rsidRPr="00310185">
        <w:rPr>
          <w:rStyle w:val="SuperscriptCharacter"/>
          <w:rFonts w:ascii="HelveticaNeueLT Std" w:hAnsi="HelveticaNeueLT Std"/>
        </w:rPr>
        <w:t>* S: Individually significant</w:t>
      </w:r>
    </w:p>
    <w:p w14:paraId="5415A8DB" w14:textId="77777777" w:rsidR="00415925" w:rsidRPr="00310185" w:rsidRDefault="00415925" w:rsidP="00415925">
      <w:pPr>
        <w:spacing w:after="0"/>
        <w:jc w:val="right"/>
        <w:rPr>
          <w:rStyle w:val="SuperscriptCharacter"/>
          <w:rFonts w:ascii="HelveticaNeueLT Std" w:hAnsi="HelveticaNeueLT Std"/>
        </w:rPr>
      </w:pPr>
      <w:r w:rsidRPr="00310185">
        <w:rPr>
          <w:rStyle w:val="SuperscriptCharacter"/>
          <w:rFonts w:ascii="HelveticaNeueLT Std" w:hAnsi="HelveticaNeueLT Std"/>
        </w:rPr>
        <w:t xml:space="preserve">  C: Contributory</w:t>
      </w:r>
    </w:p>
    <w:p w14:paraId="5DFBAC94" w14:textId="77777777" w:rsidR="00415925" w:rsidRPr="00310185" w:rsidRDefault="00415925" w:rsidP="00415925">
      <w:pPr>
        <w:spacing w:after="0"/>
        <w:jc w:val="right"/>
        <w:rPr>
          <w:rStyle w:val="SuperscriptCharacter"/>
          <w:rFonts w:ascii="HelveticaNeueLT Std" w:hAnsi="HelveticaNeueLT Std"/>
        </w:rPr>
      </w:pPr>
      <w:r w:rsidRPr="00310185">
        <w:rPr>
          <w:rStyle w:val="SuperscriptCharacter"/>
          <w:rFonts w:ascii="HelveticaNeueLT Std" w:hAnsi="HelveticaNeueLT Std"/>
        </w:rPr>
        <w:t xml:space="preserve">  NC: Non-contributory</w:t>
      </w:r>
    </w:p>
    <w:p w14:paraId="3FF2FB32" w14:textId="1B188D7F" w:rsidR="00415925" w:rsidRPr="00415925" w:rsidRDefault="00415925" w:rsidP="00415925">
      <w:pPr>
        <w:spacing w:after="0"/>
        <w:ind w:firstLine="75"/>
        <w:jc w:val="right"/>
        <w:rPr>
          <w:rFonts w:asciiTheme="minorBidi" w:hAnsiTheme="minorBidi"/>
          <w:sz w:val="20"/>
          <w:szCs w:val="20"/>
        </w:rPr>
      </w:pPr>
      <w:r w:rsidRPr="00310185">
        <w:rPr>
          <w:rStyle w:val="SuperscriptCharacter"/>
          <w:rFonts w:ascii="HelveticaNeueLT Std" w:hAnsi="HelveticaNeueLT Std"/>
        </w:rPr>
        <w:t>Refer to Heritage Victoria’s Model brief for consultants (p.6) for explanation of designations.</w:t>
      </w:r>
    </w:p>
    <w:p w14:paraId="57629AE7" w14:textId="214C2B34" w:rsidR="00CC56A7" w:rsidRPr="00415925" w:rsidRDefault="00CC56A7" w:rsidP="00706364">
      <w:pPr>
        <w:keepNext/>
        <w:pBdr>
          <w:bottom w:val="single" w:sz="4" w:space="1" w:color="auto"/>
        </w:pBdr>
        <w:autoSpaceDE w:val="0"/>
        <w:autoSpaceDN w:val="0"/>
        <w:adjustRightInd w:val="0"/>
        <w:spacing w:before="240" w:after="120" w:line="240" w:lineRule="auto"/>
        <w:rPr>
          <w:rFonts w:asciiTheme="minorBidi" w:hAnsiTheme="minorBidi"/>
          <w:b/>
          <w:bCs/>
          <w:sz w:val="20"/>
          <w:szCs w:val="20"/>
        </w:rPr>
      </w:pPr>
      <w:r w:rsidRPr="00415925">
        <w:rPr>
          <w:rFonts w:asciiTheme="minorBidi" w:hAnsiTheme="minorBidi"/>
          <w:b/>
          <w:bCs/>
          <w:sz w:val="20"/>
          <w:szCs w:val="20"/>
        </w:rPr>
        <w:t>Primary source</w:t>
      </w:r>
    </w:p>
    <w:p w14:paraId="7CDD6DA6" w14:textId="2C07AF7A" w:rsidR="00CC56A7" w:rsidRPr="00415925" w:rsidRDefault="00415925" w:rsidP="00AC5B8D">
      <w:pPr>
        <w:autoSpaceDE w:val="0"/>
        <w:autoSpaceDN w:val="0"/>
        <w:adjustRightInd w:val="0"/>
        <w:spacing w:after="0" w:line="240" w:lineRule="auto"/>
        <w:rPr>
          <w:rFonts w:asciiTheme="minorBidi" w:hAnsiTheme="minorBidi"/>
          <w:bCs/>
          <w:i/>
          <w:sz w:val="20"/>
          <w:szCs w:val="20"/>
        </w:rPr>
      </w:pPr>
      <w:r>
        <w:rPr>
          <w:rFonts w:asciiTheme="minorBidi" w:hAnsiTheme="minorBidi"/>
          <w:bCs/>
          <w:i/>
          <w:sz w:val="20"/>
          <w:szCs w:val="20"/>
        </w:rPr>
        <w:t>Hampden Road Precinct, Armadale,</w:t>
      </w:r>
      <w:r w:rsidR="004F5A9E" w:rsidRPr="00415925">
        <w:rPr>
          <w:rFonts w:asciiTheme="minorBidi" w:hAnsiTheme="minorBidi"/>
          <w:bCs/>
          <w:i/>
          <w:sz w:val="20"/>
          <w:szCs w:val="20"/>
        </w:rPr>
        <w:t xml:space="preserve"> Citation Report, Extent Heritage Pty Ltd, </w:t>
      </w:r>
      <w:r w:rsidR="005260A6">
        <w:rPr>
          <w:rFonts w:asciiTheme="minorBidi" w:hAnsiTheme="minorBidi"/>
          <w:bCs/>
          <w:i/>
          <w:sz w:val="20"/>
          <w:szCs w:val="20"/>
        </w:rPr>
        <w:t>January</w:t>
      </w:r>
      <w:r w:rsidR="000D0104">
        <w:rPr>
          <w:rFonts w:asciiTheme="minorBidi" w:hAnsiTheme="minorBidi"/>
          <w:bCs/>
          <w:i/>
          <w:sz w:val="20"/>
          <w:szCs w:val="20"/>
        </w:rPr>
        <w:t xml:space="preserve"> </w:t>
      </w:r>
      <w:proofErr w:type="gramStart"/>
      <w:r w:rsidR="000D0104">
        <w:rPr>
          <w:rFonts w:asciiTheme="minorBidi" w:hAnsiTheme="minorBidi"/>
          <w:bCs/>
          <w:i/>
          <w:sz w:val="20"/>
          <w:szCs w:val="20"/>
        </w:rPr>
        <w:t>202</w:t>
      </w:r>
      <w:r w:rsidR="005260A6">
        <w:rPr>
          <w:rFonts w:asciiTheme="minorBidi" w:hAnsiTheme="minorBidi"/>
          <w:bCs/>
          <w:i/>
          <w:sz w:val="20"/>
          <w:szCs w:val="20"/>
        </w:rPr>
        <w:t>4.</w:t>
      </w:r>
      <w:r w:rsidR="000D0104">
        <w:rPr>
          <w:rFonts w:asciiTheme="minorBidi" w:hAnsiTheme="minorBidi"/>
          <w:bCs/>
          <w:i/>
          <w:sz w:val="20"/>
          <w:szCs w:val="20"/>
        </w:rPr>
        <w:t>.</w:t>
      </w:r>
      <w:proofErr w:type="gramEnd"/>
    </w:p>
    <w:p w14:paraId="1E1C7A7F" w14:textId="6CA152D9" w:rsidR="0020588E" w:rsidRPr="00310185" w:rsidRDefault="00772C35" w:rsidP="00706364">
      <w:pPr>
        <w:spacing w:line="240" w:lineRule="auto"/>
        <w:rPr>
          <w:rFonts w:ascii="HelveticaNeueLT Std" w:hAnsi="HelveticaNeueLT Std" w:cs="Arial"/>
          <w:sz w:val="20"/>
          <w:szCs w:val="20"/>
        </w:rPr>
      </w:pPr>
      <w:r w:rsidRPr="00310185">
        <w:rPr>
          <w:rFonts w:ascii="HelveticaNeueLT Std" w:hAnsi="HelveticaNeueLT Std" w:cs="Arial"/>
          <w:iCs/>
          <w:noProof/>
          <w:sz w:val="20"/>
          <w:szCs w:val="20"/>
          <w:lang w:val="en-US" w:eastAsia="zh-CN"/>
        </w:rPr>
        <mc:AlternateContent>
          <mc:Choice Requires="wps">
            <w:drawing>
              <wp:anchor distT="45720" distB="45720" distL="114300" distR="114300" simplePos="0" relativeHeight="251659264" behindDoc="0" locked="0" layoutInCell="1" allowOverlap="1" wp14:anchorId="03F433B1" wp14:editId="14198AB5">
                <wp:simplePos x="0" y="0"/>
                <wp:positionH relativeFrom="column">
                  <wp:posOffset>5635155</wp:posOffset>
                </wp:positionH>
                <wp:positionV relativeFrom="paragraph">
                  <wp:posOffset>8661649</wp:posOffset>
                </wp:positionV>
                <wp:extent cx="924339" cy="228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339" cy="228600"/>
                        </a:xfrm>
                        <a:prstGeom prst="rect">
                          <a:avLst/>
                        </a:prstGeom>
                        <a:solidFill>
                          <a:srgbClr val="FFFFFF"/>
                        </a:solidFill>
                        <a:ln w="9525">
                          <a:noFill/>
                          <a:miter lim="800000"/>
                          <a:headEnd/>
                          <a:tailEnd/>
                        </a:ln>
                      </wps:spPr>
                      <wps:txbx>
                        <w:txbxContent>
                          <w:p w14:paraId="7D06002B" w14:textId="77777777" w:rsidR="00772C35" w:rsidRPr="005E2F62" w:rsidRDefault="00772C35" w:rsidP="00772C35">
                            <w:pPr>
                              <w:rPr>
                                <w:sz w:val="18"/>
                                <w:szCs w:val="18"/>
                              </w:rPr>
                            </w:pPr>
                            <w:r w:rsidRPr="005E2F62">
                              <w:rPr>
                                <w:sz w:val="18"/>
                                <w:szCs w:val="18"/>
                              </w:rPr>
                              <w:t>February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433B1" id="_x0000_t202" coordsize="21600,21600" o:spt="202" path="m,l,21600r21600,l21600,xe">
                <v:stroke joinstyle="miter"/>
                <v:path gradientshapeok="t" o:connecttype="rect"/>
              </v:shapetype>
              <v:shape id="Text Box 2" o:spid="_x0000_s1026" type="#_x0000_t202" style="position:absolute;margin-left:443.7pt;margin-top:682pt;width:72.8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krDQIAAPUDAAAOAAAAZHJzL2Uyb0RvYy54bWysU8tu2zAQvBfoPxC815IVO7UFy0Hq1EWB&#10;9AGk/QCaoiyiFJdd0pbSr8+SchwjvRXVgeBql8PZ2eHqZugMOyr0GmzFp5OcM2Ul1NruK/7zx/bd&#10;gjMfhK2FAasq/qg8v1m/fbPqXakKaMHUChmBWF/2ruJtCK7MMi9b1Qk/AacsJRvATgQKcZ/VKHpC&#10;70xW5Pl11gPWDkEq7+nv3Zjk64TfNEqGb03jVWCm4sQtpBXTuotrtl6Jco/CtVqeaIh/YNEJbenS&#10;M9SdCIIdUP8F1WmJ4KEJEwldBk2jpUo9UDfT/FU3D61wKvVC4nh3lsn/P1j59fjgviMLwwcYaICp&#10;Ce/uQf7yzMKmFXavbhGhb5Wo6eJplCzrnS9PR6PUvvQRZNd/gZqGLA4BEtDQYBdVoT4ZodMAHs+i&#10;qyEwST+XxezqasmZpFRRLK7zNJRMlM+HHfrwSUHH4qbiSDNN4OJ470MkI8rnkniXB6PrrTYmBbjf&#10;bQyyo6D5b9OX+L8qM5b1xGRezBOyhXg+WaPTgfxpdFfxRR6/0TFRjI+2TiVBaDPuiYmxJ3WiIKM0&#10;YdgNVBhV2kH9SDohjD6kd0ObFvAPZz15sOL+90Gg4sx8tqT1cjqbRdOmYDZ/X1CAl5ndZUZYSVAV&#10;D5yN201IRo86WLilmTQ66fXC5MSVvJVkPL2DaN7LOFW9vNb1EwAAAP//AwBQSwMEFAAGAAgAAAAh&#10;AAWhXJ7gAAAADgEAAA8AAABkcnMvZG93bnJldi54bWxMj0FPg0AQhe8m/ofNmHgxdldBoJSlURON&#10;19b+gAWmQGRnCbst9N87PentTd7Lm+8V28UO4oyT7x1peFopEEi1a3pqNRy+Px4zED4YaszgCDVc&#10;0MO2vL0pTN64mXZ43odWcAn53GjoQhhzKX3doTV+5UYk9o5usibwObWymczM5XaQz0ol0pqe+ENn&#10;RnzvsP7Zn6yG49f88LKeq89wSHdx8mb6tHIXre/vltcNiIBL+AvDFZ/RoWSmyp2o8WLQkGVpzFE2&#10;oiTmVdeIiiJWFatYKQWyLOT/GeUvAAAA//8DAFBLAQItABQABgAIAAAAIQC2gziS/gAAAOEBAAAT&#10;AAAAAAAAAAAAAAAAAAAAAABbQ29udGVudF9UeXBlc10ueG1sUEsBAi0AFAAGAAgAAAAhADj9If/W&#10;AAAAlAEAAAsAAAAAAAAAAAAAAAAALwEAAF9yZWxzLy5yZWxzUEsBAi0AFAAGAAgAAAAhAIRduSsN&#10;AgAA9QMAAA4AAAAAAAAAAAAAAAAALgIAAGRycy9lMm9Eb2MueG1sUEsBAi0AFAAGAAgAAAAhAAWh&#10;XJ7gAAAADgEAAA8AAAAAAAAAAAAAAAAAZwQAAGRycy9kb3ducmV2LnhtbFBLBQYAAAAABAAEAPMA&#10;AAB0BQAAAAA=&#10;" stroked="f">
                <v:textbox>
                  <w:txbxContent>
                    <w:p w14:paraId="7D06002B" w14:textId="77777777" w:rsidR="00772C35" w:rsidRPr="005E2F62" w:rsidRDefault="00772C35" w:rsidP="00772C35">
                      <w:pPr>
                        <w:rPr>
                          <w:sz w:val="18"/>
                          <w:szCs w:val="18"/>
                        </w:rPr>
                      </w:pPr>
                      <w:r w:rsidRPr="005E2F62">
                        <w:rPr>
                          <w:sz w:val="18"/>
                          <w:szCs w:val="18"/>
                        </w:rPr>
                        <w:t>February 2019</w:t>
                      </w:r>
                    </w:p>
                  </w:txbxContent>
                </v:textbox>
              </v:shape>
            </w:pict>
          </mc:Fallback>
        </mc:AlternateContent>
      </w:r>
    </w:p>
    <w:sectPr w:rsidR="0020588E" w:rsidRPr="0031018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85CD" w14:textId="77777777" w:rsidR="00A932C0" w:rsidRDefault="00A932C0" w:rsidP="003428E5">
      <w:pPr>
        <w:spacing w:after="0" w:line="240" w:lineRule="auto"/>
      </w:pPr>
      <w:r>
        <w:separator/>
      </w:r>
    </w:p>
  </w:endnote>
  <w:endnote w:type="continuationSeparator" w:id="0">
    <w:p w14:paraId="50445049" w14:textId="77777777" w:rsidR="00A932C0" w:rsidRDefault="00A932C0" w:rsidP="0034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57AF" w14:textId="7BF0A83E" w:rsidR="003428E5" w:rsidRDefault="00683DB9">
    <w:pPr>
      <w:pStyle w:val="Footer"/>
    </w:pPr>
    <w:r w:rsidRPr="000F5662">
      <w:rPr>
        <w:rFonts w:ascii="Times" w:hAnsi="Times" w:cs="Times"/>
        <w:sz w:val="16"/>
      </w:rPr>
      <w:t xml:space="preserve">This document is an incorporated document in the </w:t>
    </w:r>
    <w:r>
      <w:rPr>
        <w:rFonts w:ascii="Times" w:hAnsi="Times" w:cs="Times"/>
        <w:sz w:val="16"/>
      </w:rPr>
      <w:t>Stonnington</w:t>
    </w:r>
    <w:r w:rsidRPr="000F5662">
      <w:rPr>
        <w:rFonts w:ascii="Times" w:hAnsi="Times" w:cs="Times"/>
        <w:sz w:val="16"/>
      </w:rPr>
      <w:t xml:space="preserve"> Planning Scheme pursuant to section 6(2)(j) of the </w:t>
    </w:r>
    <w:r w:rsidRPr="000F5662">
      <w:rPr>
        <w:rFonts w:ascii="Times" w:hAnsi="Times" w:cs="Times"/>
        <w:i/>
        <w:sz w:val="16"/>
      </w:rPr>
      <w:t>Planning and Environment Act 1987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ECE9" w14:textId="77777777" w:rsidR="00A932C0" w:rsidRDefault="00A932C0" w:rsidP="003428E5">
      <w:pPr>
        <w:spacing w:after="0" w:line="240" w:lineRule="auto"/>
      </w:pPr>
      <w:r>
        <w:separator/>
      </w:r>
    </w:p>
  </w:footnote>
  <w:footnote w:type="continuationSeparator" w:id="0">
    <w:p w14:paraId="6FF521CD" w14:textId="77777777" w:rsidR="00A932C0" w:rsidRDefault="00A932C0" w:rsidP="0034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B378" w14:textId="77777777" w:rsidR="003428E5" w:rsidRPr="00C702D0" w:rsidRDefault="003428E5" w:rsidP="003428E5">
    <w:pPr>
      <w:jc w:val="center"/>
      <w:rPr>
        <w:rFonts w:ascii="Times New Roman" w:hAnsi="Times New Roman" w:cs="Times New Roman"/>
      </w:rPr>
    </w:pPr>
    <w:r w:rsidRPr="00C702D0">
      <w:rPr>
        <w:rFonts w:ascii="Times New Roman" w:hAnsi="Times New Roman" w:cs="Times New Roman"/>
        <w:smallCaps/>
        <w:color w:val="000000"/>
        <w:sz w:val="18"/>
      </w:rPr>
      <w:t>Stonnington</w:t>
    </w:r>
    <w:r w:rsidRPr="00C702D0">
      <w:rPr>
        <w:rFonts w:ascii="Times New Roman" w:hAnsi="Times New Roman" w:cs="Times New Roman"/>
        <w:smallCaps/>
        <w:sz w:val="18"/>
      </w:rPr>
      <w:t xml:space="preserve"> 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73916C"/>
    <w:multiLevelType w:val="hybridMultilevel"/>
    <w:tmpl w:val="60EA9C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19E6E4"/>
    <w:multiLevelType w:val="hybridMultilevel"/>
    <w:tmpl w:val="3D1AB4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CA73C8"/>
    <w:multiLevelType w:val="hybridMultilevel"/>
    <w:tmpl w:val="9D5C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D7353B"/>
    <w:multiLevelType w:val="hybridMultilevel"/>
    <w:tmpl w:val="B262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A47FF"/>
    <w:multiLevelType w:val="hybridMultilevel"/>
    <w:tmpl w:val="A0EE4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234E96"/>
    <w:multiLevelType w:val="hybridMultilevel"/>
    <w:tmpl w:val="4FBE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7920675">
    <w:abstractNumId w:val="4"/>
  </w:num>
  <w:num w:numId="2" w16cid:durableId="706417074">
    <w:abstractNumId w:val="2"/>
  </w:num>
  <w:num w:numId="3" w16cid:durableId="1847671392">
    <w:abstractNumId w:val="1"/>
  </w:num>
  <w:num w:numId="4" w16cid:durableId="1921523835">
    <w:abstractNumId w:val="0"/>
  </w:num>
  <w:num w:numId="5" w16cid:durableId="1377654954">
    <w:abstractNumId w:val="3"/>
  </w:num>
  <w:num w:numId="6" w16cid:durableId="3565406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50C"/>
    <w:rsid w:val="000A59AB"/>
    <w:rsid w:val="000C5801"/>
    <w:rsid w:val="000C5CBA"/>
    <w:rsid w:val="000D0104"/>
    <w:rsid w:val="000D187D"/>
    <w:rsid w:val="00100509"/>
    <w:rsid w:val="00132A31"/>
    <w:rsid w:val="00162D8B"/>
    <w:rsid w:val="00167835"/>
    <w:rsid w:val="001D2DA5"/>
    <w:rsid w:val="0020588E"/>
    <w:rsid w:val="00234C0E"/>
    <w:rsid w:val="00290B4F"/>
    <w:rsid w:val="002C150C"/>
    <w:rsid w:val="00310185"/>
    <w:rsid w:val="00335DDD"/>
    <w:rsid w:val="003428E5"/>
    <w:rsid w:val="003D76A7"/>
    <w:rsid w:val="00415925"/>
    <w:rsid w:val="004D5427"/>
    <w:rsid w:val="004F5A9E"/>
    <w:rsid w:val="005260A6"/>
    <w:rsid w:val="0054441B"/>
    <w:rsid w:val="00544F7A"/>
    <w:rsid w:val="005E2118"/>
    <w:rsid w:val="005E4162"/>
    <w:rsid w:val="005F1474"/>
    <w:rsid w:val="005F70BA"/>
    <w:rsid w:val="00674A87"/>
    <w:rsid w:val="00680E68"/>
    <w:rsid w:val="00683DB9"/>
    <w:rsid w:val="006B1BDC"/>
    <w:rsid w:val="006B2F8F"/>
    <w:rsid w:val="006B6B7C"/>
    <w:rsid w:val="00706364"/>
    <w:rsid w:val="00750B59"/>
    <w:rsid w:val="00772C35"/>
    <w:rsid w:val="00825E44"/>
    <w:rsid w:val="008E27F8"/>
    <w:rsid w:val="0095543B"/>
    <w:rsid w:val="00A0250A"/>
    <w:rsid w:val="00A02EE0"/>
    <w:rsid w:val="00A15BAC"/>
    <w:rsid w:val="00A757B5"/>
    <w:rsid w:val="00A932C0"/>
    <w:rsid w:val="00AA1211"/>
    <w:rsid w:val="00AC5B8D"/>
    <w:rsid w:val="00B04E61"/>
    <w:rsid w:val="00B115D9"/>
    <w:rsid w:val="00B873D4"/>
    <w:rsid w:val="00B94706"/>
    <w:rsid w:val="00BC27F9"/>
    <w:rsid w:val="00C311FB"/>
    <w:rsid w:val="00C55550"/>
    <w:rsid w:val="00C617DA"/>
    <w:rsid w:val="00C702D0"/>
    <w:rsid w:val="00CC56A7"/>
    <w:rsid w:val="00CF5E7A"/>
    <w:rsid w:val="00D44BA9"/>
    <w:rsid w:val="00DA4099"/>
    <w:rsid w:val="00DB2195"/>
    <w:rsid w:val="00DF5B29"/>
    <w:rsid w:val="00E139E1"/>
    <w:rsid w:val="00E3590D"/>
    <w:rsid w:val="00EA5E81"/>
    <w:rsid w:val="00FE429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C7A4F"/>
  <w15:chartTrackingRefBased/>
  <w15:docId w15:val="{7E062B44-DB7C-4C59-B3F7-CA156D9A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BDC"/>
    <w:pPr>
      <w:ind w:left="720"/>
      <w:contextualSpacing/>
    </w:pPr>
  </w:style>
  <w:style w:type="table" w:styleId="TableGrid">
    <w:name w:val="Table Grid"/>
    <w:basedOn w:val="TableNormal"/>
    <w:uiPriority w:val="39"/>
    <w:rsid w:val="006B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0BA"/>
    <w:rPr>
      <w:rFonts w:ascii="Segoe UI" w:hAnsi="Segoe UI" w:cs="Segoe UI"/>
      <w:sz w:val="18"/>
      <w:szCs w:val="18"/>
    </w:rPr>
  </w:style>
  <w:style w:type="paragraph" w:styleId="Header">
    <w:name w:val="header"/>
    <w:basedOn w:val="Normal"/>
    <w:link w:val="HeaderChar"/>
    <w:uiPriority w:val="99"/>
    <w:unhideWhenUsed/>
    <w:rsid w:val="00342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8E5"/>
  </w:style>
  <w:style w:type="paragraph" w:styleId="Footer">
    <w:name w:val="footer"/>
    <w:basedOn w:val="Normal"/>
    <w:link w:val="FooterChar"/>
    <w:uiPriority w:val="99"/>
    <w:unhideWhenUsed/>
    <w:rsid w:val="00342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8E5"/>
  </w:style>
  <w:style w:type="paragraph" w:customStyle="1" w:styleId="Default">
    <w:name w:val="Default"/>
    <w:rsid w:val="00AC5B8D"/>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DF5B29"/>
    <w:rPr>
      <w:sz w:val="16"/>
      <w:szCs w:val="16"/>
    </w:rPr>
  </w:style>
  <w:style w:type="paragraph" w:styleId="CommentText">
    <w:name w:val="annotation text"/>
    <w:basedOn w:val="Normal"/>
    <w:link w:val="CommentTextChar"/>
    <w:uiPriority w:val="99"/>
    <w:semiHidden/>
    <w:unhideWhenUsed/>
    <w:rsid w:val="00DF5B29"/>
    <w:pPr>
      <w:spacing w:line="240" w:lineRule="auto"/>
    </w:pPr>
    <w:rPr>
      <w:sz w:val="20"/>
      <w:szCs w:val="20"/>
    </w:rPr>
  </w:style>
  <w:style w:type="character" w:customStyle="1" w:styleId="CommentTextChar">
    <w:name w:val="Comment Text Char"/>
    <w:basedOn w:val="DefaultParagraphFont"/>
    <w:link w:val="CommentText"/>
    <w:uiPriority w:val="99"/>
    <w:semiHidden/>
    <w:rsid w:val="00DF5B29"/>
    <w:rPr>
      <w:sz w:val="20"/>
      <w:szCs w:val="20"/>
    </w:rPr>
  </w:style>
  <w:style w:type="paragraph" w:styleId="CommentSubject">
    <w:name w:val="annotation subject"/>
    <w:basedOn w:val="CommentText"/>
    <w:next w:val="CommentText"/>
    <w:link w:val="CommentSubjectChar"/>
    <w:uiPriority w:val="99"/>
    <w:semiHidden/>
    <w:unhideWhenUsed/>
    <w:rsid w:val="00DF5B29"/>
    <w:rPr>
      <w:b/>
      <w:bCs/>
    </w:rPr>
  </w:style>
  <w:style w:type="character" w:customStyle="1" w:styleId="CommentSubjectChar">
    <w:name w:val="Comment Subject Char"/>
    <w:basedOn w:val="CommentTextChar"/>
    <w:link w:val="CommentSubject"/>
    <w:uiPriority w:val="99"/>
    <w:semiHidden/>
    <w:rsid w:val="00DF5B29"/>
    <w:rPr>
      <w:b/>
      <w:bCs/>
      <w:sz w:val="20"/>
      <w:szCs w:val="20"/>
    </w:rPr>
  </w:style>
  <w:style w:type="character" w:customStyle="1" w:styleId="SuperscriptCharacter">
    <w:name w:val="Superscript Character"/>
    <w:basedOn w:val="DefaultParagraphFont"/>
    <w:uiPriority w:val="10"/>
    <w:qFormat/>
    <w:rsid w:val="00825E44"/>
    <w:rPr>
      <w:sz w:val="24"/>
      <w:vertAlign w:val="superscript"/>
    </w:rPr>
  </w:style>
  <w:style w:type="character" w:customStyle="1" w:styleId="ItalicCharacter">
    <w:name w:val="Italic Character"/>
    <w:basedOn w:val="DefaultParagraphFont"/>
    <w:uiPriority w:val="10"/>
    <w:qFormat/>
    <w:rsid w:val="00310185"/>
    <w:rPr>
      <w:i/>
      <w:iCs w:val="0"/>
    </w:rPr>
  </w:style>
  <w:style w:type="table" w:customStyle="1" w:styleId="ExtentHeaderCentred">
    <w:name w:val="Extent Header Centred"/>
    <w:basedOn w:val="TableGrid"/>
    <w:uiPriority w:val="99"/>
    <w:rsid w:val="00310185"/>
    <w:pPr>
      <w:spacing w:before="120" w:after="60"/>
    </w:pPr>
    <w:rPr>
      <w:rFonts w:ascii="Arial" w:eastAsiaTheme="minorEastAsia" w:hAnsi="Arial"/>
      <w:color w:val="000000" w:themeColor="text1"/>
      <w:sz w:val="20"/>
      <w:szCs w:val="20"/>
      <w:lang w:eastAsia="en-AU"/>
    </w:rPr>
    <w:tblPr>
      <w:tblInd w:w="0" w:type="nil"/>
      <w:tblBorders>
        <w:top w:val="single" w:sz="4" w:space="0" w:color="5B9BD5" w:themeColor="accent1"/>
        <w:left w:val="none" w:sz="0" w:space="0" w:color="auto"/>
        <w:bottom w:val="single" w:sz="4" w:space="0" w:color="5B9BD5" w:themeColor="accent1"/>
        <w:right w:val="none" w:sz="0" w:space="0" w:color="auto"/>
        <w:insideH w:val="single" w:sz="4" w:space="0" w:color="5B9BD5" w:themeColor="accent1"/>
        <w:insideV w:val="single" w:sz="4" w:space="0" w:color="5B9BD5" w:themeColor="accent1"/>
      </w:tblBorders>
    </w:tblPr>
    <w:tcPr>
      <w:vAlign w:val="center"/>
    </w:tcPr>
    <w:tblStylePr w:type="firstRow">
      <w:pPr>
        <w:wordWrap/>
        <w:spacing w:beforeLines="0" w:before="100" w:beforeAutospacing="1" w:afterLines="0" w:after="100" w:afterAutospacing="1"/>
        <w:jc w:val="center"/>
      </w:pPr>
      <w:rPr>
        <w:b/>
        <w:caps w:val="0"/>
        <w:smallCaps w:val="0"/>
        <w:color w:val="FFFFFF" w:themeColor="background1"/>
      </w:rPr>
      <w:tblPr/>
      <w:tcPr>
        <w:shd w:val="clear" w:color="auto" w:fill="44546A" w:themeFill="text2"/>
        <w:vAlign w:val="top"/>
      </w:tcPr>
    </w:tblStylePr>
    <w:tblStylePr w:type="firstCol">
      <w:pPr>
        <w:jc w:val="left"/>
      </w:pPr>
    </w:tblStylePr>
  </w:style>
  <w:style w:type="paragraph" w:styleId="Revision">
    <w:name w:val="Revision"/>
    <w:hidden/>
    <w:uiPriority w:val="99"/>
    <w:semiHidden/>
    <w:rsid w:val="000D0104"/>
    <w:pPr>
      <w:spacing w:after="0" w:line="240" w:lineRule="auto"/>
    </w:pPr>
  </w:style>
  <w:style w:type="character" w:customStyle="1" w:styleId="normaltextrun">
    <w:name w:val="normaltextrun"/>
    <w:basedOn w:val="DefaultParagraphFont"/>
    <w:rsid w:val="005260A6"/>
  </w:style>
  <w:style w:type="character" w:customStyle="1" w:styleId="eop">
    <w:name w:val="eop"/>
    <w:basedOn w:val="DefaultParagraphFont"/>
    <w:rsid w:val="005260A6"/>
  </w:style>
  <w:style w:type="paragraph" w:customStyle="1" w:styleId="paragraph">
    <w:name w:val="paragraph"/>
    <w:basedOn w:val="Normal"/>
    <w:rsid w:val="005260A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072">
      <w:bodyDiv w:val="1"/>
      <w:marLeft w:val="0"/>
      <w:marRight w:val="0"/>
      <w:marTop w:val="0"/>
      <w:marBottom w:val="0"/>
      <w:divBdr>
        <w:top w:val="none" w:sz="0" w:space="0" w:color="auto"/>
        <w:left w:val="none" w:sz="0" w:space="0" w:color="auto"/>
        <w:bottom w:val="none" w:sz="0" w:space="0" w:color="auto"/>
        <w:right w:val="none" w:sz="0" w:space="0" w:color="auto"/>
      </w:divBdr>
    </w:div>
    <w:div w:id="985739932">
      <w:bodyDiv w:val="1"/>
      <w:marLeft w:val="0"/>
      <w:marRight w:val="0"/>
      <w:marTop w:val="0"/>
      <w:marBottom w:val="0"/>
      <w:divBdr>
        <w:top w:val="none" w:sz="0" w:space="0" w:color="auto"/>
        <w:left w:val="none" w:sz="0" w:space="0" w:color="auto"/>
        <w:bottom w:val="none" w:sz="0" w:space="0" w:color="auto"/>
        <w:right w:val="none" w:sz="0" w:space="0" w:color="auto"/>
      </w:divBdr>
      <w:divsChild>
        <w:div w:id="1152671968">
          <w:marLeft w:val="0"/>
          <w:marRight w:val="0"/>
          <w:marTop w:val="0"/>
          <w:marBottom w:val="0"/>
          <w:divBdr>
            <w:top w:val="none" w:sz="0" w:space="0" w:color="auto"/>
            <w:left w:val="none" w:sz="0" w:space="0" w:color="auto"/>
            <w:bottom w:val="none" w:sz="0" w:space="0" w:color="auto"/>
            <w:right w:val="none" w:sz="0" w:space="0" w:color="auto"/>
          </w:divBdr>
        </w:div>
        <w:div w:id="243732299">
          <w:marLeft w:val="0"/>
          <w:marRight w:val="0"/>
          <w:marTop w:val="0"/>
          <w:marBottom w:val="0"/>
          <w:divBdr>
            <w:top w:val="none" w:sz="0" w:space="0" w:color="auto"/>
            <w:left w:val="none" w:sz="0" w:space="0" w:color="auto"/>
            <w:bottom w:val="none" w:sz="0" w:space="0" w:color="auto"/>
            <w:right w:val="none" w:sz="0" w:space="0" w:color="auto"/>
          </w:divBdr>
        </w:div>
      </w:divsChild>
    </w:div>
    <w:div w:id="1187907443">
      <w:bodyDiv w:val="1"/>
      <w:marLeft w:val="0"/>
      <w:marRight w:val="0"/>
      <w:marTop w:val="0"/>
      <w:marBottom w:val="0"/>
      <w:divBdr>
        <w:top w:val="none" w:sz="0" w:space="0" w:color="auto"/>
        <w:left w:val="none" w:sz="0" w:space="0" w:color="auto"/>
        <w:bottom w:val="none" w:sz="0" w:space="0" w:color="auto"/>
        <w:right w:val="none" w:sz="0" w:space="0" w:color="auto"/>
      </w:divBdr>
    </w:div>
    <w:div w:id="150944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C8FF7309EBD42B2C8D32A463522E2" ma:contentTypeVersion="17" ma:contentTypeDescription="Create a new document." ma:contentTypeScope="" ma:versionID="c66a968b77a374be9d2a92b282808406">
  <xsd:schema xmlns:xsd="http://www.w3.org/2001/XMLSchema" xmlns:xs="http://www.w3.org/2001/XMLSchema" xmlns:p="http://schemas.microsoft.com/office/2006/metadata/properties" xmlns:ns2="a5f32de4-e402-4188-b034-e71ca7d22e54" xmlns:ns3="4bd58b96-cc7f-4c1b-801f-2bc3c6bd79dd" xmlns:ns4="9f250a92-4cb3-4475-b8ab-fbe3dd1bbf75" targetNamespace="http://schemas.microsoft.com/office/2006/metadata/properties" ma:root="true" ma:fieldsID="85f356c02cb545f3e739ebb520d1b8d4" ns2:_="" ns3:_="" ns4:_="">
    <xsd:import namespace="a5f32de4-e402-4188-b034-e71ca7d22e54"/>
    <xsd:import namespace="4bd58b96-cc7f-4c1b-801f-2bc3c6bd79dd"/>
    <xsd:import namespace="9f250a92-4cb3-4475-b8ab-fbe3dd1bbf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Classification" minOccurs="0"/>
                <xsd:element ref="ns4:SharedWithUsers" minOccurs="0"/>
                <xsd:element ref="ns4:SharedWithDetails" minOccurs="0"/>
                <xsd:element ref="ns3:MediaServiceEventHashCode" minOccurs="0"/>
                <xsd:element ref="ns3:MediaServiceGenerationTim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d58b96-cc7f-4c1b-801f-2bc3c6bd7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Classification" ma:index="15" nillable="true" ma:displayName="Classification" ma:list="{5132af1a-d0a0-4524-926b-2351b7b1ccb3}" ma:internalName="Classification" ma:showField="Title">
      <xsd:simpleType>
        <xsd:restriction base="dms:Lookup"/>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50a92-4cb3-4475-b8ab-fbe3dd1bbf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ssification xmlns="4bd58b96-cc7f-4c1b-801f-2bc3c6bd79dd">7</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97aeec6-0273-40f2-ab3e-beee73212332" ContentTypeId="0x0101" PreviousValue="false"/>
</file>

<file path=customXml/itemProps1.xml><?xml version="1.0" encoding="utf-8"?>
<ds:datastoreItem xmlns:ds="http://schemas.openxmlformats.org/officeDocument/2006/customXml" ds:itemID="{59FE3A5D-FD0C-447E-8638-02EF73785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4bd58b96-cc7f-4c1b-801f-2bc3c6bd79dd"/>
    <ds:schemaRef ds:uri="9f250a92-4cb3-4475-b8ab-fbe3dd1bb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3603A-DF8B-4BF2-AD85-DA5B653B3962}">
  <ds:schemaRefs>
    <ds:schemaRef ds:uri="http://schemas.microsoft.com/office/2006/metadata/properties"/>
    <ds:schemaRef ds:uri="http://schemas.microsoft.com/office/infopath/2007/PartnerControls"/>
    <ds:schemaRef ds:uri="4bd58b96-cc7f-4c1b-801f-2bc3c6bd79dd"/>
  </ds:schemaRefs>
</ds:datastoreItem>
</file>

<file path=customXml/itemProps3.xml><?xml version="1.0" encoding="utf-8"?>
<ds:datastoreItem xmlns:ds="http://schemas.openxmlformats.org/officeDocument/2006/customXml" ds:itemID="{F63F82F5-1673-4BFD-80D5-DC6362A48B74}">
  <ds:schemaRefs>
    <ds:schemaRef ds:uri="http://schemas.microsoft.com/sharepoint/v3/contenttype/forms"/>
  </ds:schemaRefs>
</ds:datastoreItem>
</file>

<file path=customXml/itemProps4.xml><?xml version="1.0" encoding="utf-8"?>
<ds:datastoreItem xmlns:ds="http://schemas.openxmlformats.org/officeDocument/2006/customXml" ds:itemID="{1F712C95-5FB8-439E-93A1-72C7BDC41B33}">
  <ds:schemaRefs>
    <ds:schemaRef ds:uri="http://schemas.microsoft.com/sharepoint/events"/>
  </ds:schemaRefs>
</ds:datastoreItem>
</file>

<file path=customXml/itemProps5.xml><?xml version="1.0" encoding="utf-8"?>
<ds:datastoreItem xmlns:ds="http://schemas.openxmlformats.org/officeDocument/2006/customXml" ds:itemID="{40527D01-ECEE-4A99-813D-861483C4580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Stonnington City Council</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Dilhara Lodewyke</dc:creator>
  <cp:keywords/>
  <dc:description/>
  <cp:lastModifiedBy>Dilhara Lodewyke</cp:lastModifiedBy>
  <cp:revision>7</cp:revision>
  <dcterms:created xsi:type="dcterms:W3CDTF">2023-02-08T22:36:00Z</dcterms:created>
  <dcterms:modified xsi:type="dcterms:W3CDTF">2024-01-19T04:52:00Z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0x010100E13C8FF7309EBD42B2C8D32A463522E2</vt:lpwstr>
  </property>
</Properties>
</file>